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5B03" w14:textId="77777777" w:rsidR="008A5592" w:rsidRPr="00933510" w:rsidRDefault="008A5592" w:rsidP="008A5592">
      <w:pPr>
        <w:rPr>
          <w:b/>
          <w:bCs/>
          <w:color w:val="440056"/>
        </w:rPr>
      </w:pPr>
      <w:r>
        <w:rPr>
          <w:b/>
          <w:bCs/>
          <w:color w:val="440056"/>
        </w:rPr>
        <w:t>NC Statutes of Limitation</w:t>
      </w:r>
    </w:p>
    <w:p w14:paraId="12D27110" w14:textId="77777777" w:rsidR="008A5592" w:rsidRPr="00933510" w:rsidRDefault="008A5592" w:rsidP="008A5592">
      <w:pPr>
        <w:rPr>
          <w:rFonts w:cs="Times New Roman (Body CS)"/>
          <w:color w:val="666666"/>
          <w:spacing w:val="20"/>
          <w:kern w:val="22"/>
          <w:sz w:val="20"/>
          <w:szCs w:val="20"/>
        </w:rPr>
      </w:pPr>
    </w:p>
    <w:p w14:paraId="2E4826BD" w14:textId="77777777" w:rsidR="008A5592" w:rsidRDefault="008A5592" w:rsidP="008A5592">
      <w:pPr>
        <w:rPr>
          <w:color w:val="666666"/>
          <w:sz w:val="20"/>
          <w:szCs w:val="20"/>
        </w:rPr>
      </w:pPr>
      <w:r w:rsidRPr="00E51DFF">
        <w:rPr>
          <w:color w:val="666666"/>
          <w:sz w:val="20"/>
          <w:szCs w:val="20"/>
        </w:rPr>
        <w:t>North Carolina employers operate under several state-specific anti-discrimination and anti-retaliation laws. These laws cover a variety of protected classes that include race, religion, color, national origin, age, biological sex, disability, HIV or AIDS status, lawful use of lawful products during non-working hours, possession of sickle cell or hemoglobin C trait, genetic testing and information, testimony or assistance with hazardous chemicals proceedings or investigations, jury service, National Guard service, or engaging in activities protected by the NC Retaliatory Employment Discrimination Act (like threatening to file or filing an OSHA complaint or a workers compensation claim).</w:t>
      </w:r>
    </w:p>
    <w:p w14:paraId="2102F5C8" w14:textId="77777777" w:rsidR="008A5592" w:rsidRPr="00E51DFF" w:rsidRDefault="008A5592" w:rsidP="008A5592">
      <w:pPr>
        <w:rPr>
          <w:color w:val="666666"/>
          <w:sz w:val="20"/>
          <w:szCs w:val="20"/>
        </w:rPr>
      </w:pPr>
    </w:p>
    <w:p w14:paraId="099BBA53" w14:textId="77777777" w:rsidR="008A5592" w:rsidRDefault="008A5592" w:rsidP="008A5592">
      <w:pPr>
        <w:rPr>
          <w:color w:val="666666"/>
          <w:sz w:val="20"/>
          <w:szCs w:val="20"/>
        </w:rPr>
      </w:pPr>
      <w:r w:rsidRPr="00E51DFF">
        <w:rPr>
          <w:color w:val="666666"/>
          <w:sz w:val="20"/>
          <w:szCs w:val="20"/>
        </w:rPr>
        <w:t xml:space="preserve">Many of these protections mirror those at the federal level, but come with their own defenses, nuances, and statutes of limitation. </w:t>
      </w:r>
      <w:r>
        <w:rPr>
          <w:color w:val="666666"/>
          <w:sz w:val="20"/>
          <w:szCs w:val="20"/>
        </w:rPr>
        <w:t xml:space="preserve">The following chart will help employers understand the limitations of these laws related to the </w:t>
      </w:r>
      <w:proofErr w:type="gramStart"/>
      <w:r>
        <w:rPr>
          <w:color w:val="666666"/>
          <w:sz w:val="20"/>
          <w:szCs w:val="20"/>
        </w:rPr>
        <w:t>period of time</w:t>
      </w:r>
      <w:proofErr w:type="gramEnd"/>
      <w:r>
        <w:rPr>
          <w:color w:val="666666"/>
          <w:sz w:val="20"/>
          <w:szCs w:val="20"/>
        </w:rPr>
        <w:t xml:space="preserve"> in which claims may be filed.</w:t>
      </w:r>
    </w:p>
    <w:p w14:paraId="3647AC43" w14:textId="77777777" w:rsidR="008A5592" w:rsidRPr="00E51DFF" w:rsidRDefault="008A5592" w:rsidP="008A5592">
      <w:pPr>
        <w:rPr>
          <w:color w:val="666666"/>
          <w:sz w:val="20"/>
          <w:szCs w:val="20"/>
        </w:rPr>
      </w:pPr>
    </w:p>
    <w:tbl>
      <w:tblPr>
        <w:tblW w:w="10618"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84"/>
        <w:gridCol w:w="1756"/>
        <w:gridCol w:w="3600"/>
        <w:gridCol w:w="2878"/>
      </w:tblGrid>
      <w:tr w:rsidR="008A5592" w:rsidRPr="00E51DFF" w14:paraId="41A0ABC0" w14:textId="77777777" w:rsidTr="00235684">
        <w:trPr>
          <w:trHeight w:val="237"/>
        </w:trPr>
        <w:tc>
          <w:tcPr>
            <w:tcW w:w="0" w:type="auto"/>
            <w:shd w:val="clear" w:color="auto" w:fill="FFFFFF"/>
            <w:tcMar>
              <w:top w:w="0" w:type="dxa"/>
              <w:left w:w="0" w:type="dxa"/>
              <w:bottom w:w="0" w:type="dxa"/>
              <w:right w:w="0" w:type="dxa"/>
            </w:tcMar>
            <w:vAlign w:val="center"/>
            <w:hideMark/>
          </w:tcPr>
          <w:p w14:paraId="76A86353" w14:textId="77777777" w:rsidR="008A5592" w:rsidRPr="00E51DFF" w:rsidRDefault="008A5592" w:rsidP="00235684">
            <w:pPr>
              <w:rPr>
                <w:color w:val="666666"/>
                <w:sz w:val="20"/>
                <w:szCs w:val="20"/>
              </w:rPr>
            </w:pPr>
            <w:r w:rsidRPr="00E51DFF">
              <w:rPr>
                <w:b/>
                <w:bCs/>
                <w:color w:val="666666"/>
                <w:sz w:val="20"/>
                <w:szCs w:val="20"/>
              </w:rPr>
              <w:t>NC State Law</w:t>
            </w:r>
          </w:p>
        </w:tc>
        <w:tc>
          <w:tcPr>
            <w:tcW w:w="1756" w:type="dxa"/>
            <w:shd w:val="clear" w:color="auto" w:fill="FFFFFF"/>
            <w:tcMar>
              <w:top w:w="0" w:type="dxa"/>
              <w:left w:w="0" w:type="dxa"/>
              <w:bottom w:w="0" w:type="dxa"/>
              <w:right w:w="0" w:type="dxa"/>
            </w:tcMar>
            <w:vAlign w:val="center"/>
            <w:hideMark/>
          </w:tcPr>
          <w:p w14:paraId="34F750F4" w14:textId="77777777" w:rsidR="008A5592" w:rsidRPr="00E51DFF" w:rsidRDefault="008A5592" w:rsidP="00235684">
            <w:pPr>
              <w:ind w:left="30"/>
              <w:rPr>
                <w:color w:val="666666"/>
                <w:sz w:val="20"/>
                <w:szCs w:val="20"/>
              </w:rPr>
            </w:pPr>
            <w:r w:rsidRPr="00E51DFF">
              <w:rPr>
                <w:b/>
                <w:bCs/>
                <w:color w:val="666666"/>
                <w:sz w:val="20"/>
                <w:szCs w:val="20"/>
              </w:rPr>
              <w:t>Applies To</w:t>
            </w:r>
          </w:p>
        </w:tc>
        <w:tc>
          <w:tcPr>
            <w:tcW w:w="3600" w:type="dxa"/>
            <w:shd w:val="clear" w:color="auto" w:fill="FFFFFF"/>
            <w:tcMar>
              <w:top w:w="0" w:type="dxa"/>
              <w:left w:w="0" w:type="dxa"/>
              <w:bottom w:w="0" w:type="dxa"/>
              <w:right w:w="0" w:type="dxa"/>
            </w:tcMar>
            <w:vAlign w:val="center"/>
            <w:hideMark/>
          </w:tcPr>
          <w:p w14:paraId="0EE96667" w14:textId="77777777" w:rsidR="008A5592" w:rsidRPr="00E51DFF" w:rsidRDefault="008A5592" w:rsidP="00235684">
            <w:pPr>
              <w:ind w:left="59"/>
              <w:rPr>
                <w:color w:val="666666"/>
                <w:sz w:val="20"/>
                <w:szCs w:val="20"/>
              </w:rPr>
            </w:pPr>
            <w:r w:rsidRPr="00E51DFF">
              <w:rPr>
                <w:b/>
                <w:bCs/>
                <w:color w:val="666666"/>
                <w:sz w:val="20"/>
                <w:szCs w:val="20"/>
              </w:rPr>
              <w:t>Protects</w:t>
            </w:r>
          </w:p>
        </w:tc>
        <w:tc>
          <w:tcPr>
            <w:tcW w:w="2878" w:type="dxa"/>
            <w:shd w:val="clear" w:color="auto" w:fill="FFFFFF"/>
            <w:tcMar>
              <w:top w:w="0" w:type="dxa"/>
              <w:left w:w="0" w:type="dxa"/>
              <w:bottom w:w="0" w:type="dxa"/>
              <w:right w:w="0" w:type="dxa"/>
            </w:tcMar>
            <w:vAlign w:val="center"/>
            <w:hideMark/>
          </w:tcPr>
          <w:p w14:paraId="2B0A3504" w14:textId="77777777" w:rsidR="008A5592" w:rsidRPr="00E51DFF" w:rsidRDefault="008A5592" w:rsidP="00235684">
            <w:pPr>
              <w:ind w:left="89"/>
              <w:rPr>
                <w:color w:val="666666"/>
                <w:sz w:val="20"/>
                <w:szCs w:val="20"/>
              </w:rPr>
            </w:pPr>
            <w:r w:rsidRPr="00E51DFF">
              <w:rPr>
                <w:b/>
                <w:bCs/>
                <w:color w:val="666666"/>
                <w:sz w:val="20"/>
                <w:szCs w:val="20"/>
              </w:rPr>
              <w:t>Statute of Limitations</w:t>
            </w:r>
          </w:p>
        </w:tc>
      </w:tr>
      <w:tr w:rsidR="008A5592" w:rsidRPr="00E51DFF" w14:paraId="7BFA271A" w14:textId="77777777" w:rsidTr="00235684">
        <w:trPr>
          <w:trHeight w:val="990"/>
        </w:trPr>
        <w:tc>
          <w:tcPr>
            <w:tcW w:w="0" w:type="auto"/>
            <w:shd w:val="clear" w:color="auto" w:fill="FFFFFF"/>
            <w:tcMar>
              <w:top w:w="0" w:type="dxa"/>
              <w:left w:w="0" w:type="dxa"/>
              <w:bottom w:w="0" w:type="dxa"/>
              <w:right w:w="0" w:type="dxa"/>
            </w:tcMar>
            <w:vAlign w:val="center"/>
            <w:hideMark/>
          </w:tcPr>
          <w:p w14:paraId="4BE9C1A9" w14:textId="77777777" w:rsidR="008A5592" w:rsidRPr="00E51DFF" w:rsidRDefault="008A5592" w:rsidP="00235684">
            <w:pPr>
              <w:rPr>
                <w:color w:val="666666"/>
                <w:sz w:val="20"/>
                <w:szCs w:val="20"/>
              </w:rPr>
            </w:pPr>
            <w:r w:rsidRPr="00E51DFF">
              <w:rPr>
                <w:b/>
                <w:bCs/>
                <w:color w:val="666666"/>
                <w:sz w:val="20"/>
                <w:szCs w:val="20"/>
              </w:rPr>
              <w:t>Equal Employment Practices Act</w:t>
            </w:r>
            <w:r w:rsidRPr="00E51DFF">
              <w:rPr>
                <w:color w:val="666666"/>
                <w:sz w:val="20"/>
                <w:szCs w:val="20"/>
              </w:rPr>
              <w:t> (N.C. Gen. Stat. §§ 143-422.1 to 143-422.3)</w:t>
            </w:r>
          </w:p>
        </w:tc>
        <w:tc>
          <w:tcPr>
            <w:tcW w:w="1756" w:type="dxa"/>
            <w:shd w:val="clear" w:color="auto" w:fill="FFFFFF"/>
            <w:tcMar>
              <w:top w:w="0" w:type="dxa"/>
              <w:left w:w="0" w:type="dxa"/>
              <w:bottom w:w="0" w:type="dxa"/>
              <w:right w:w="0" w:type="dxa"/>
            </w:tcMar>
            <w:vAlign w:val="center"/>
            <w:hideMark/>
          </w:tcPr>
          <w:p w14:paraId="61B75339" w14:textId="77777777" w:rsidR="008A5592" w:rsidRPr="00E51DFF" w:rsidRDefault="008A5592" w:rsidP="00235684">
            <w:pPr>
              <w:ind w:left="30"/>
              <w:rPr>
                <w:color w:val="666666"/>
                <w:sz w:val="20"/>
                <w:szCs w:val="20"/>
              </w:rPr>
            </w:pPr>
            <w:r w:rsidRPr="00E51DFF">
              <w:rPr>
                <w:color w:val="666666"/>
                <w:sz w:val="20"/>
                <w:szCs w:val="20"/>
              </w:rPr>
              <w:t>All NC employers regularly employing 15+ employees</w:t>
            </w:r>
          </w:p>
        </w:tc>
        <w:tc>
          <w:tcPr>
            <w:tcW w:w="3600" w:type="dxa"/>
            <w:shd w:val="clear" w:color="auto" w:fill="FFFFFF"/>
            <w:tcMar>
              <w:top w:w="0" w:type="dxa"/>
              <w:left w:w="0" w:type="dxa"/>
              <w:bottom w:w="0" w:type="dxa"/>
              <w:right w:w="0" w:type="dxa"/>
            </w:tcMar>
            <w:vAlign w:val="center"/>
            <w:hideMark/>
          </w:tcPr>
          <w:p w14:paraId="5100A1F3" w14:textId="77777777" w:rsidR="008A5592" w:rsidRPr="00E51DFF" w:rsidRDefault="008A5592" w:rsidP="00235684">
            <w:pPr>
              <w:ind w:left="59"/>
              <w:rPr>
                <w:color w:val="666666"/>
                <w:sz w:val="20"/>
                <w:szCs w:val="20"/>
              </w:rPr>
            </w:pPr>
            <w:r w:rsidRPr="00E51DFF">
              <w:rPr>
                <w:color w:val="666666"/>
                <w:sz w:val="20"/>
                <w:szCs w:val="20"/>
              </w:rPr>
              <w:t>Classes based on race, religion, color, national origin, age, biological sex, disability</w:t>
            </w:r>
          </w:p>
        </w:tc>
        <w:tc>
          <w:tcPr>
            <w:tcW w:w="2878" w:type="dxa"/>
            <w:shd w:val="clear" w:color="auto" w:fill="FFFFFF"/>
            <w:tcMar>
              <w:top w:w="0" w:type="dxa"/>
              <w:left w:w="0" w:type="dxa"/>
              <w:bottom w:w="0" w:type="dxa"/>
              <w:right w:w="0" w:type="dxa"/>
            </w:tcMar>
            <w:vAlign w:val="center"/>
            <w:hideMark/>
          </w:tcPr>
          <w:p w14:paraId="2051C4DD" w14:textId="77777777" w:rsidR="008A5592" w:rsidRPr="00E51DFF" w:rsidRDefault="008A5592" w:rsidP="00235684">
            <w:pPr>
              <w:ind w:left="89"/>
              <w:rPr>
                <w:color w:val="666666"/>
                <w:sz w:val="20"/>
                <w:szCs w:val="20"/>
              </w:rPr>
            </w:pPr>
            <w:r w:rsidRPr="00E51DFF">
              <w:rPr>
                <w:color w:val="666666"/>
                <w:sz w:val="20"/>
                <w:szCs w:val="20"/>
              </w:rPr>
              <w:t>Claims must be filed with the EEOC within 180 days of last discriminatory act; for wrongful discharge.</w:t>
            </w:r>
          </w:p>
        </w:tc>
      </w:tr>
      <w:tr w:rsidR="008A5592" w:rsidRPr="00E51DFF" w14:paraId="0AA71C1B" w14:textId="77777777" w:rsidTr="00235684">
        <w:trPr>
          <w:trHeight w:val="732"/>
        </w:trPr>
        <w:tc>
          <w:tcPr>
            <w:tcW w:w="0" w:type="auto"/>
            <w:shd w:val="clear" w:color="auto" w:fill="FFFFFF"/>
            <w:tcMar>
              <w:top w:w="0" w:type="dxa"/>
              <w:left w:w="0" w:type="dxa"/>
              <w:bottom w:w="0" w:type="dxa"/>
              <w:right w:w="0" w:type="dxa"/>
            </w:tcMar>
            <w:vAlign w:val="center"/>
            <w:hideMark/>
          </w:tcPr>
          <w:p w14:paraId="46BB01F6" w14:textId="77777777" w:rsidR="008A5592" w:rsidRPr="00E51DFF" w:rsidRDefault="008A5592" w:rsidP="00235684">
            <w:pPr>
              <w:rPr>
                <w:color w:val="666666"/>
                <w:sz w:val="20"/>
                <w:szCs w:val="20"/>
              </w:rPr>
            </w:pPr>
            <w:r w:rsidRPr="00E51DFF">
              <w:rPr>
                <w:b/>
                <w:bCs/>
                <w:color w:val="666666"/>
                <w:sz w:val="20"/>
                <w:szCs w:val="20"/>
              </w:rPr>
              <w:t>Discrimination Based on Sickle Cell Trait or Hemoglobin C Trait</w:t>
            </w:r>
            <w:r w:rsidRPr="00E51DFF">
              <w:rPr>
                <w:color w:val="666666"/>
                <w:sz w:val="20"/>
                <w:szCs w:val="20"/>
              </w:rPr>
              <w:t> (N.C. Gen. Stat. § 95-28.1)</w:t>
            </w:r>
          </w:p>
        </w:tc>
        <w:tc>
          <w:tcPr>
            <w:tcW w:w="1756" w:type="dxa"/>
            <w:shd w:val="clear" w:color="auto" w:fill="FFFFFF"/>
            <w:tcMar>
              <w:top w:w="0" w:type="dxa"/>
              <w:left w:w="0" w:type="dxa"/>
              <w:bottom w:w="0" w:type="dxa"/>
              <w:right w:w="0" w:type="dxa"/>
            </w:tcMar>
            <w:vAlign w:val="center"/>
            <w:hideMark/>
          </w:tcPr>
          <w:p w14:paraId="0F471B67" w14:textId="77777777" w:rsidR="008A5592" w:rsidRPr="00E51DFF" w:rsidRDefault="008A5592" w:rsidP="00235684">
            <w:pPr>
              <w:ind w:left="30"/>
              <w:rPr>
                <w:color w:val="666666"/>
                <w:sz w:val="20"/>
                <w:szCs w:val="20"/>
              </w:rPr>
            </w:pPr>
            <w:r w:rsidRPr="00E51DFF">
              <w:rPr>
                <w:color w:val="666666"/>
                <w:sz w:val="20"/>
                <w:szCs w:val="20"/>
              </w:rPr>
              <w:t>All NC employers</w:t>
            </w:r>
          </w:p>
        </w:tc>
        <w:tc>
          <w:tcPr>
            <w:tcW w:w="3600" w:type="dxa"/>
            <w:shd w:val="clear" w:color="auto" w:fill="FFFFFF"/>
            <w:tcMar>
              <w:top w:w="0" w:type="dxa"/>
              <w:left w:w="0" w:type="dxa"/>
              <w:bottom w:w="0" w:type="dxa"/>
              <w:right w:w="0" w:type="dxa"/>
            </w:tcMar>
            <w:vAlign w:val="center"/>
            <w:hideMark/>
          </w:tcPr>
          <w:p w14:paraId="35F2FA83" w14:textId="77777777" w:rsidR="008A5592" w:rsidRPr="00E51DFF" w:rsidRDefault="008A5592" w:rsidP="00235684">
            <w:pPr>
              <w:ind w:left="59"/>
              <w:rPr>
                <w:color w:val="666666"/>
                <w:sz w:val="20"/>
                <w:szCs w:val="20"/>
              </w:rPr>
            </w:pPr>
            <w:r w:rsidRPr="00E51DFF">
              <w:rPr>
                <w:color w:val="666666"/>
                <w:sz w:val="20"/>
                <w:szCs w:val="20"/>
              </w:rPr>
              <w:t>Individuals with sickle cell trait or hemoglobin C trait</w:t>
            </w:r>
          </w:p>
        </w:tc>
        <w:tc>
          <w:tcPr>
            <w:tcW w:w="2878" w:type="dxa"/>
            <w:shd w:val="clear" w:color="auto" w:fill="FFFFFF"/>
            <w:tcMar>
              <w:top w:w="0" w:type="dxa"/>
              <w:left w:w="0" w:type="dxa"/>
              <w:bottom w:w="0" w:type="dxa"/>
              <w:right w:w="0" w:type="dxa"/>
            </w:tcMar>
            <w:vAlign w:val="center"/>
            <w:hideMark/>
          </w:tcPr>
          <w:p w14:paraId="458140FE" w14:textId="77777777" w:rsidR="008A5592" w:rsidRPr="00E51DFF" w:rsidRDefault="008A5592" w:rsidP="00235684">
            <w:pPr>
              <w:ind w:left="89"/>
              <w:rPr>
                <w:color w:val="666666"/>
                <w:sz w:val="20"/>
                <w:szCs w:val="20"/>
              </w:rPr>
            </w:pPr>
            <w:r w:rsidRPr="00E51DFF">
              <w:rPr>
                <w:color w:val="666666"/>
                <w:sz w:val="20"/>
                <w:szCs w:val="20"/>
              </w:rPr>
              <w:t>For wrongful discharge: 3 years</w:t>
            </w:r>
          </w:p>
        </w:tc>
      </w:tr>
      <w:tr w:rsidR="008A5592" w:rsidRPr="00E51DFF" w14:paraId="170E5E5A" w14:textId="77777777" w:rsidTr="00235684">
        <w:trPr>
          <w:trHeight w:val="990"/>
        </w:trPr>
        <w:tc>
          <w:tcPr>
            <w:tcW w:w="0" w:type="auto"/>
            <w:shd w:val="clear" w:color="auto" w:fill="FFFFFF"/>
            <w:tcMar>
              <w:top w:w="0" w:type="dxa"/>
              <w:left w:w="0" w:type="dxa"/>
              <w:bottom w:w="0" w:type="dxa"/>
              <w:right w:w="0" w:type="dxa"/>
            </w:tcMar>
            <w:vAlign w:val="center"/>
            <w:hideMark/>
          </w:tcPr>
          <w:p w14:paraId="47EDE464" w14:textId="77777777" w:rsidR="008A5592" w:rsidRPr="00E51DFF" w:rsidRDefault="008A5592" w:rsidP="00235684">
            <w:pPr>
              <w:rPr>
                <w:color w:val="666666"/>
                <w:sz w:val="20"/>
                <w:szCs w:val="20"/>
              </w:rPr>
            </w:pPr>
            <w:r w:rsidRPr="00E51DFF">
              <w:rPr>
                <w:b/>
                <w:bCs/>
                <w:color w:val="666666"/>
                <w:sz w:val="20"/>
                <w:szCs w:val="20"/>
              </w:rPr>
              <w:t>Discrimination Based on Genetic Testing &amp; Genetic Information</w:t>
            </w:r>
            <w:r w:rsidRPr="00E51DFF">
              <w:rPr>
                <w:color w:val="666666"/>
                <w:sz w:val="20"/>
                <w:szCs w:val="20"/>
              </w:rPr>
              <w:t> (N.C. Gen. Stat. 95-28.1A)</w:t>
            </w:r>
          </w:p>
        </w:tc>
        <w:tc>
          <w:tcPr>
            <w:tcW w:w="1756" w:type="dxa"/>
            <w:shd w:val="clear" w:color="auto" w:fill="FFFFFF"/>
            <w:tcMar>
              <w:top w:w="0" w:type="dxa"/>
              <w:left w:w="0" w:type="dxa"/>
              <w:bottom w:w="0" w:type="dxa"/>
              <w:right w:w="0" w:type="dxa"/>
            </w:tcMar>
            <w:vAlign w:val="center"/>
            <w:hideMark/>
          </w:tcPr>
          <w:p w14:paraId="0C5FAD18" w14:textId="77777777" w:rsidR="008A5592" w:rsidRPr="00E51DFF" w:rsidRDefault="008A5592" w:rsidP="00235684">
            <w:pPr>
              <w:ind w:left="30"/>
              <w:rPr>
                <w:color w:val="666666"/>
                <w:sz w:val="20"/>
                <w:szCs w:val="20"/>
              </w:rPr>
            </w:pPr>
            <w:r w:rsidRPr="00E51DFF">
              <w:rPr>
                <w:color w:val="666666"/>
                <w:sz w:val="20"/>
                <w:szCs w:val="20"/>
              </w:rPr>
              <w:t>All NC employers</w:t>
            </w:r>
          </w:p>
        </w:tc>
        <w:tc>
          <w:tcPr>
            <w:tcW w:w="3600" w:type="dxa"/>
            <w:shd w:val="clear" w:color="auto" w:fill="FFFFFF"/>
            <w:tcMar>
              <w:top w:w="0" w:type="dxa"/>
              <w:left w:w="0" w:type="dxa"/>
              <w:bottom w:w="0" w:type="dxa"/>
              <w:right w:w="0" w:type="dxa"/>
            </w:tcMar>
            <w:vAlign w:val="center"/>
            <w:hideMark/>
          </w:tcPr>
          <w:p w14:paraId="4D802040" w14:textId="77777777" w:rsidR="008A5592" w:rsidRPr="00E51DFF" w:rsidRDefault="008A5592" w:rsidP="00235684">
            <w:pPr>
              <w:ind w:left="59"/>
              <w:rPr>
                <w:color w:val="666666"/>
                <w:sz w:val="20"/>
                <w:szCs w:val="20"/>
              </w:rPr>
            </w:pPr>
            <w:r w:rsidRPr="00E51DFF">
              <w:rPr>
                <w:color w:val="666666"/>
                <w:sz w:val="20"/>
                <w:szCs w:val="20"/>
              </w:rPr>
              <w:t>Persons who have requested genetic testing or services or about whom or whose family the employer has obtained genetic information</w:t>
            </w:r>
          </w:p>
        </w:tc>
        <w:tc>
          <w:tcPr>
            <w:tcW w:w="2878" w:type="dxa"/>
            <w:shd w:val="clear" w:color="auto" w:fill="FFFFFF"/>
            <w:tcMar>
              <w:top w:w="0" w:type="dxa"/>
              <w:left w:w="0" w:type="dxa"/>
              <w:bottom w:w="0" w:type="dxa"/>
              <w:right w:w="0" w:type="dxa"/>
            </w:tcMar>
            <w:vAlign w:val="center"/>
            <w:hideMark/>
          </w:tcPr>
          <w:p w14:paraId="4762095F" w14:textId="77777777" w:rsidR="008A5592" w:rsidRPr="00E51DFF" w:rsidRDefault="008A5592" w:rsidP="00235684">
            <w:pPr>
              <w:ind w:left="89"/>
              <w:rPr>
                <w:color w:val="666666"/>
                <w:sz w:val="20"/>
                <w:szCs w:val="20"/>
              </w:rPr>
            </w:pPr>
            <w:r w:rsidRPr="00E51DFF">
              <w:rPr>
                <w:color w:val="666666"/>
                <w:sz w:val="20"/>
                <w:szCs w:val="20"/>
              </w:rPr>
              <w:t>For wrongful discharge: 3 years</w:t>
            </w:r>
          </w:p>
        </w:tc>
      </w:tr>
      <w:tr w:rsidR="008A5592" w:rsidRPr="00E51DFF" w14:paraId="01E31396" w14:textId="77777777" w:rsidTr="00235684">
        <w:trPr>
          <w:trHeight w:val="1207"/>
        </w:trPr>
        <w:tc>
          <w:tcPr>
            <w:tcW w:w="0" w:type="auto"/>
            <w:shd w:val="clear" w:color="auto" w:fill="FFFFFF"/>
            <w:tcMar>
              <w:top w:w="0" w:type="dxa"/>
              <w:left w:w="0" w:type="dxa"/>
              <w:bottom w:w="0" w:type="dxa"/>
              <w:right w:w="0" w:type="dxa"/>
            </w:tcMar>
            <w:vAlign w:val="center"/>
            <w:hideMark/>
          </w:tcPr>
          <w:p w14:paraId="1D465832" w14:textId="77777777" w:rsidR="008A5592" w:rsidRPr="00E51DFF" w:rsidRDefault="008A5592" w:rsidP="00235684">
            <w:pPr>
              <w:rPr>
                <w:color w:val="666666"/>
                <w:sz w:val="20"/>
                <w:szCs w:val="20"/>
              </w:rPr>
            </w:pPr>
            <w:r w:rsidRPr="00E51DFF">
              <w:rPr>
                <w:b/>
                <w:bCs/>
                <w:color w:val="666666"/>
                <w:sz w:val="20"/>
                <w:szCs w:val="20"/>
              </w:rPr>
              <w:t>Discrimination Based on the Lawful Use of Lawful Products During Non-Working Hours</w:t>
            </w:r>
            <w:r w:rsidRPr="00E51DFF">
              <w:rPr>
                <w:color w:val="666666"/>
                <w:sz w:val="20"/>
                <w:szCs w:val="20"/>
              </w:rPr>
              <w:t> (N.C. Gen. Stat. § 95-28.2)</w:t>
            </w:r>
          </w:p>
        </w:tc>
        <w:tc>
          <w:tcPr>
            <w:tcW w:w="1756" w:type="dxa"/>
            <w:shd w:val="clear" w:color="auto" w:fill="FFFFFF"/>
            <w:tcMar>
              <w:top w:w="0" w:type="dxa"/>
              <w:left w:w="0" w:type="dxa"/>
              <w:bottom w:w="0" w:type="dxa"/>
              <w:right w:w="0" w:type="dxa"/>
            </w:tcMar>
            <w:vAlign w:val="center"/>
            <w:hideMark/>
          </w:tcPr>
          <w:p w14:paraId="2EB2442A" w14:textId="77777777" w:rsidR="008A5592" w:rsidRPr="00E51DFF" w:rsidRDefault="008A5592" w:rsidP="00235684">
            <w:pPr>
              <w:ind w:left="30"/>
              <w:rPr>
                <w:color w:val="666666"/>
                <w:sz w:val="20"/>
                <w:szCs w:val="20"/>
              </w:rPr>
            </w:pPr>
            <w:r w:rsidRPr="00E51DFF">
              <w:rPr>
                <w:color w:val="666666"/>
                <w:sz w:val="20"/>
                <w:szCs w:val="20"/>
              </w:rPr>
              <w:t>All NC employers regularly employing 3+ employees</w:t>
            </w:r>
          </w:p>
        </w:tc>
        <w:tc>
          <w:tcPr>
            <w:tcW w:w="3600" w:type="dxa"/>
            <w:shd w:val="clear" w:color="auto" w:fill="FFFFFF"/>
            <w:tcMar>
              <w:top w:w="0" w:type="dxa"/>
              <w:left w:w="0" w:type="dxa"/>
              <w:bottom w:w="0" w:type="dxa"/>
              <w:right w:w="0" w:type="dxa"/>
            </w:tcMar>
            <w:vAlign w:val="center"/>
            <w:hideMark/>
          </w:tcPr>
          <w:p w14:paraId="07EDDC79" w14:textId="77777777" w:rsidR="008A5592" w:rsidRPr="00E51DFF" w:rsidRDefault="008A5592" w:rsidP="00235684">
            <w:pPr>
              <w:ind w:left="59"/>
              <w:rPr>
                <w:color w:val="666666"/>
                <w:sz w:val="20"/>
                <w:szCs w:val="20"/>
              </w:rPr>
            </w:pPr>
            <w:r w:rsidRPr="00E51DFF">
              <w:rPr>
                <w:color w:val="666666"/>
                <w:sz w:val="20"/>
                <w:szCs w:val="20"/>
              </w:rPr>
              <w:t>Employees and prospective employees engaging in the lawful use of lawful products off employer’s premises during non-working hours when use does not adversely affect job performance or abilities to fulfill responsibilities/safety of others</w:t>
            </w:r>
          </w:p>
        </w:tc>
        <w:tc>
          <w:tcPr>
            <w:tcW w:w="2878" w:type="dxa"/>
            <w:shd w:val="clear" w:color="auto" w:fill="FFFFFF"/>
            <w:tcMar>
              <w:top w:w="0" w:type="dxa"/>
              <w:left w:w="0" w:type="dxa"/>
              <w:bottom w:w="0" w:type="dxa"/>
              <w:right w:w="0" w:type="dxa"/>
            </w:tcMar>
            <w:vAlign w:val="center"/>
            <w:hideMark/>
          </w:tcPr>
          <w:p w14:paraId="4B2FBFEF" w14:textId="77777777" w:rsidR="008A5592" w:rsidRPr="00E51DFF" w:rsidRDefault="008A5592" w:rsidP="00235684">
            <w:pPr>
              <w:ind w:left="89"/>
              <w:rPr>
                <w:color w:val="666666"/>
                <w:sz w:val="20"/>
                <w:szCs w:val="20"/>
              </w:rPr>
            </w:pPr>
            <w:r w:rsidRPr="00E51DFF">
              <w:rPr>
                <w:color w:val="666666"/>
                <w:sz w:val="20"/>
                <w:szCs w:val="20"/>
              </w:rPr>
              <w:t>Civil actions must be brought within 1 year from the date of the alleged violation</w:t>
            </w:r>
          </w:p>
        </w:tc>
      </w:tr>
      <w:tr w:rsidR="008A5592" w:rsidRPr="00E51DFF" w14:paraId="526D5F31" w14:textId="77777777" w:rsidTr="00235684">
        <w:trPr>
          <w:trHeight w:val="1485"/>
        </w:trPr>
        <w:tc>
          <w:tcPr>
            <w:tcW w:w="0" w:type="auto"/>
            <w:shd w:val="clear" w:color="auto" w:fill="FFFFFF"/>
            <w:tcMar>
              <w:top w:w="0" w:type="dxa"/>
              <w:left w:w="0" w:type="dxa"/>
              <w:bottom w:w="0" w:type="dxa"/>
              <w:right w:w="0" w:type="dxa"/>
            </w:tcMar>
            <w:vAlign w:val="center"/>
            <w:hideMark/>
          </w:tcPr>
          <w:p w14:paraId="7F731A36" w14:textId="77777777" w:rsidR="008A5592" w:rsidRPr="00E51DFF" w:rsidRDefault="008A5592" w:rsidP="00235684">
            <w:pPr>
              <w:rPr>
                <w:color w:val="666666"/>
                <w:sz w:val="20"/>
                <w:szCs w:val="20"/>
              </w:rPr>
            </w:pPr>
            <w:r w:rsidRPr="00E51DFF">
              <w:rPr>
                <w:b/>
                <w:bCs/>
                <w:color w:val="666666"/>
                <w:sz w:val="20"/>
                <w:szCs w:val="20"/>
              </w:rPr>
              <w:t>Discrimination Based on AIDS or HIV Status</w:t>
            </w:r>
            <w:r w:rsidRPr="00E51DFF">
              <w:rPr>
                <w:color w:val="666666"/>
                <w:sz w:val="20"/>
                <w:szCs w:val="20"/>
              </w:rPr>
              <w:t> (N.C. Gen. Stat. § 130A-148(</w:t>
            </w:r>
            <w:proofErr w:type="spellStart"/>
            <w:r w:rsidRPr="00E51DFF">
              <w:rPr>
                <w:color w:val="666666"/>
                <w:sz w:val="20"/>
                <w:szCs w:val="20"/>
              </w:rPr>
              <w:t>i</w:t>
            </w:r>
            <w:proofErr w:type="spellEnd"/>
            <w:r w:rsidRPr="00E51DFF">
              <w:rPr>
                <w:color w:val="666666"/>
                <w:sz w:val="20"/>
                <w:szCs w:val="20"/>
              </w:rPr>
              <w:t>))</w:t>
            </w:r>
          </w:p>
        </w:tc>
        <w:tc>
          <w:tcPr>
            <w:tcW w:w="1756" w:type="dxa"/>
            <w:shd w:val="clear" w:color="auto" w:fill="FFFFFF"/>
            <w:tcMar>
              <w:top w:w="0" w:type="dxa"/>
              <w:left w:w="0" w:type="dxa"/>
              <w:bottom w:w="0" w:type="dxa"/>
              <w:right w:w="0" w:type="dxa"/>
            </w:tcMar>
            <w:vAlign w:val="center"/>
            <w:hideMark/>
          </w:tcPr>
          <w:p w14:paraId="7DC176B6" w14:textId="77777777" w:rsidR="008A5592" w:rsidRPr="00E51DFF" w:rsidRDefault="008A5592" w:rsidP="00235684">
            <w:pPr>
              <w:ind w:left="30"/>
              <w:rPr>
                <w:color w:val="666666"/>
                <w:sz w:val="20"/>
                <w:szCs w:val="20"/>
              </w:rPr>
            </w:pPr>
            <w:r w:rsidRPr="00E51DFF">
              <w:rPr>
                <w:color w:val="666666"/>
                <w:sz w:val="20"/>
                <w:szCs w:val="20"/>
              </w:rPr>
              <w:t>All NC employers</w:t>
            </w:r>
          </w:p>
        </w:tc>
        <w:tc>
          <w:tcPr>
            <w:tcW w:w="3600" w:type="dxa"/>
            <w:shd w:val="clear" w:color="auto" w:fill="FFFFFF"/>
            <w:tcMar>
              <w:top w:w="0" w:type="dxa"/>
              <w:left w:w="0" w:type="dxa"/>
              <w:bottom w:w="0" w:type="dxa"/>
              <w:right w:w="0" w:type="dxa"/>
            </w:tcMar>
            <w:vAlign w:val="center"/>
            <w:hideMark/>
          </w:tcPr>
          <w:p w14:paraId="01F42705" w14:textId="77777777" w:rsidR="008A5592" w:rsidRPr="00E51DFF" w:rsidRDefault="008A5592" w:rsidP="00235684">
            <w:pPr>
              <w:ind w:left="59"/>
              <w:rPr>
                <w:color w:val="666666"/>
                <w:sz w:val="20"/>
                <w:szCs w:val="20"/>
              </w:rPr>
            </w:pPr>
            <w:r w:rsidRPr="00E51DFF">
              <w:rPr>
                <w:color w:val="666666"/>
                <w:sz w:val="20"/>
                <w:szCs w:val="20"/>
              </w:rPr>
              <w:t>Employees who have AIDS/HIV</w:t>
            </w:r>
          </w:p>
        </w:tc>
        <w:tc>
          <w:tcPr>
            <w:tcW w:w="2878" w:type="dxa"/>
            <w:shd w:val="clear" w:color="auto" w:fill="FFFFFF"/>
            <w:tcMar>
              <w:top w:w="0" w:type="dxa"/>
              <w:left w:w="0" w:type="dxa"/>
              <w:bottom w:w="0" w:type="dxa"/>
              <w:right w:w="0" w:type="dxa"/>
            </w:tcMar>
            <w:vAlign w:val="center"/>
            <w:hideMark/>
          </w:tcPr>
          <w:p w14:paraId="0E89AAE2" w14:textId="77777777" w:rsidR="008A5592" w:rsidRPr="00E51DFF" w:rsidRDefault="008A5592" w:rsidP="00235684">
            <w:pPr>
              <w:ind w:left="89"/>
              <w:rPr>
                <w:color w:val="666666"/>
                <w:sz w:val="20"/>
                <w:szCs w:val="20"/>
              </w:rPr>
            </w:pPr>
            <w:r w:rsidRPr="00E51DFF">
              <w:rPr>
                <w:color w:val="666666"/>
                <w:sz w:val="20"/>
                <w:szCs w:val="20"/>
              </w:rPr>
              <w:t>Claims must be filed within 180 days after date employee became aware of, or should have become aware of, the discriminatory practice or conduct</w:t>
            </w:r>
          </w:p>
        </w:tc>
      </w:tr>
      <w:tr w:rsidR="008A5592" w:rsidRPr="00E51DFF" w14:paraId="2157CDE1" w14:textId="77777777" w:rsidTr="00235684">
        <w:trPr>
          <w:trHeight w:val="1227"/>
        </w:trPr>
        <w:tc>
          <w:tcPr>
            <w:tcW w:w="0" w:type="auto"/>
            <w:shd w:val="clear" w:color="auto" w:fill="FFFFFF"/>
            <w:tcMar>
              <w:top w:w="0" w:type="dxa"/>
              <w:left w:w="0" w:type="dxa"/>
              <w:bottom w:w="0" w:type="dxa"/>
              <w:right w:w="0" w:type="dxa"/>
            </w:tcMar>
            <w:vAlign w:val="center"/>
            <w:hideMark/>
          </w:tcPr>
          <w:p w14:paraId="48E9C965" w14:textId="77777777" w:rsidR="008A5592" w:rsidRPr="00E51DFF" w:rsidRDefault="008A5592" w:rsidP="00235684">
            <w:pPr>
              <w:rPr>
                <w:color w:val="666666"/>
                <w:sz w:val="20"/>
                <w:szCs w:val="20"/>
              </w:rPr>
            </w:pPr>
            <w:r w:rsidRPr="00E51DFF">
              <w:rPr>
                <w:b/>
                <w:bCs/>
                <w:color w:val="666666"/>
                <w:sz w:val="20"/>
                <w:szCs w:val="20"/>
              </w:rPr>
              <w:t>Hazardous Chemicals Right to Know Act</w:t>
            </w:r>
            <w:r w:rsidRPr="00E51DFF">
              <w:rPr>
                <w:color w:val="666666"/>
                <w:sz w:val="20"/>
                <w:szCs w:val="20"/>
              </w:rPr>
              <w:t> (N.C. Gen. Stat. §§ 95-173 to 95-221)</w:t>
            </w:r>
          </w:p>
        </w:tc>
        <w:tc>
          <w:tcPr>
            <w:tcW w:w="1756" w:type="dxa"/>
            <w:shd w:val="clear" w:color="auto" w:fill="FFFFFF"/>
            <w:tcMar>
              <w:top w:w="0" w:type="dxa"/>
              <w:left w:w="0" w:type="dxa"/>
              <w:bottom w:w="0" w:type="dxa"/>
              <w:right w:w="0" w:type="dxa"/>
            </w:tcMar>
            <w:vAlign w:val="center"/>
            <w:hideMark/>
          </w:tcPr>
          <w:p w14:paraId="4BE0056D" w14:textId="77777777" w:rsidR="008A5592" w:rsidRPr="00E51DFF" w:rsidRDefault="008A5592" w:rsidP="00235684">
            <w:pPr>
              <w:ind w:left="30"/>
              <w:rPr>
                <w:color w:val="666666"/>
                <w:sz w:val="20"/>
                <w:szCs w:val="20"/>
              </w:rPr>
            </w:pPr>
            <w:r w:rsidRPr="00E51DFF">
              <w:rPr>
                <w:color w:val="666666"/>
                <w:sz w:val="20"/>
                <w:szCs w:val="20"/>
              </w:rPr>
              <w:t>All NC employers</w:t>
            </w:r>
          </w:p>
        </w:tc>
        <w:tc>
          <w:tcPr>
            <w:tcW w:w="3600" w:type="dxa"/>
            <w:shd w:val="clear" w:color="auto" w:fill="FFFFFF"/>
            <w:tcMar>
              <w:top w:w="0" w:type="dxa"/>
              <w:left w:w="0" w:type="dxa"/>
              <w:bottom w:w="0" w:type="dxa"/>
              <w:right w:w="0" w:type="dxa"/>
            </w:tcMar>
            <w:vAlign w:val="center"/>
            <w:hideMark/>
          </w:tcPr>
          <w:p w14:paraId="6C3D095A" w14:textId="77777777" w:rsidR="008A5592" w:rsidRPr="00E51DFF" w:rsidRDefault="008A5592" w:rsidP="00235684">
            <w:pPr>
              <w:ind w:left="59"/>
              <w:rPr>
                <w:color w:val="666666"/>
                <w:sz w:val="20"/>
                <w:szCs w:val="20"/>
              </w:rPr>
            </w:pPr>
            <w:r w:rsidRPr="00E51DFF">
              <w:rPr>
                <w:color w:val="666666"/>
                <w:sz w:val="20"/>
                <w:szCs w:val="20"/>
              </w:rPr>
              <w:t>Employees who have assisted the Commissioner of Labor of the Fire Chief with an inspection regarding hazardous chemicals, testified in related hazardous chemical proceedings, or requested information from an employer regarding chemicals at employer’s facility</w:t>
            </w:r>
          </w:p>
        </w:tc>
        <w:tc>
          <w:tcPr>
            <w:tcW w:w="2878" w:type="dxa"/>
            <w:shd w:val="clear" w:color="auto" w:fill="FFFFFF"/>
            <w:tcMar>
              <w:top w:w="0" w:type="dxa"/>
              <w:left w:w="0" w:type="dxa"/>
              <w:bottom w:w="0" w:type="dxa"/>
              <w:right w:w="0" w:type="dxa"/>
            </w:tcMar>
            <w:vAlign w:val="center"/>
            <w:hideMark/>
          </w:tcPr>
          <w:p w14:paraId="7C9CAAF7" w14:textId="77777777" w:rsidR="008A5592" w:rsidRPr="00E51DFF" w:rsidRDefault="008A5592" w:rsidP="00235684">
            <w:pPr>
              <w:ind w:left="89"/>
              <w:rPr>
                <w:color w:val="666666"/>
                <w:sz w:val="20"/>
                <w:szCs w:val="20"/>
              </w:rPr>
            </w:pPr>
            <w:r w:rsidRPr="00E51DFF">
              <w:rPr>
                <w:color w:val="666666"/>
                <w:sz w:val="20"/>
                <w:szCs w:val="20"/>
              </w:rPr>
              <w:t>For wrongful discharge: 3 years</w:t>
            </w:r>
          </w:p>
        </w:tc>
      </w:tr>
      <w:tr w:rsidR="008A5592" w:rsidRPr="00E51DFF" w14:paraId="696442B7" w14:textId="77777777" w:rsidTr="00235684">
        <w:trPr>
          <w:trHeight w:val="732"/>
        </w:trPr>
        <w:tc>
          <w:tcPr>
            <w:tcW w:w="0" w:type="auto"/>
            <w:shd w:val="clear" w:color="auto" w:fill="FFFFFF"/>
            <w:tcMar>
              <w:top w:w="0" w:type="dxa"/>
              <w:left w:w="0" w:type="dxa"/>
              <w:bottom w:w="0" w:type="dxa"/>
              <w:right w:w="0" w:type="dxa"/>
            </w:tcMar>
            <w:vAlign w:val="center"/>
            <w:hideMark/>
          </w:tcPr>
          <w:p w14:paraId="4081E5DD" w14:textId="77777777" w:rsidR="008A5592" w:rsidRPr="00E51DFF" w:rsidRDefault="008A5592" w:rsidP="00235684">
            <w:pPr>
              <w:rPr>
                <w:color w:val="666666"/>
                <w:sz w:val="20"/>
                <w:szCs w:val="20"/>
              </w:rPr>
            </w:pPr>
            <w:r w:rsidRPr="00E51DFF">
              <w:rPr>
                <w:b/>
                <w:bCs/>
                <w:color w:val="666666"/>
                <w:sz w:val="20"/>
                <w:szCs w:val="20"/>
              </w:rPr>
              <w:t>Discrimination Based on Jury Service </w:t>
            </w:r>
            <w:r w:rsidRPr="00E51DFF">
              <w:rPr>
                <w:color w:val="666666"/>
                <w:sz w:val="20"/>
                <w:szCs w:val="20"/>
              </w:rPr>
              <w:t>(N.C. Gen. Stat. § 9-32)</w:t>
            </w:r>
          </w:p>
        </w:tc>
        <w:tc>
          <w:tcPr>
            <w:tcW w:w="1756" w:type="dxa"/>
            <w:shd w:val="clear" w:color="auto" w:fill="FFFFFF"/>
            <w:tcMar>
              <w:top w:w="0" w:type="dxa"/>
              <w:left w:w="0" w:type="dxa"/>
              <w:bottom w:w="0" w:type="dxa"/>
              <w:right w:w="0" w:type="dxa"/>
            </w:tcMar>
            <w:vAlign w:val="center"/>
            <w:hideMark/>
          </w:tcPr>
          <w:p w14:paraId="525C20CE" w14:textId="77777777" w:rsidR="008A5592" w:rsidRPr="00E51DFF" w:rsidRDefault="008A5592" w:rsidP="00235684">
            <w:pPr>
              <w:ind w:left="30"/>
              <w:rPr>
                <w:color w:val="666666"/>
                <w:sz w:val="20"/>
                <w:szCs w:val="20"/>
              </w:rPr>
            </w:pPr>
            <w:r w:rsidRPr="00E51DFF">
              <w:rPr>
                <w:color w:val="666666"/>
                <w:sz w:val="20"/>
                <w:szCs w:val="20"/>
              </w:rPr>
              <w:t>All NC employers</w:t>
            </w:r>
          </w:p>
        </w:tc>
        <w:tc>
          <w:tcPr>
            <w:tcW w:w="3600" w:type="dxa"/>
            <w:shd w:val="clear" w:color="auto" w:fill="FFFFFF"/>
            <w:tcMar>
              <w:top w:w="0" w:type="dxa"/>
              <w:left w:w="0" w:type="dxa"/>
              <w:bottom w:w="0" w:type="dxa"/>
              <w:right w:w="0" w:type="dxa"/>
            </w:tcMar>
            <w:vAlign w:val="center"/>
            <w:hideMark/>
          </w:tcPr>
          <w:p w14:paraId="336370A7" w14:textId="77777777" w:rsidR="008A5592" w:rsidRPr="00E51DFF" w:rsidRDefault="008A5592" w:rsidP="00235684">
            <w:pPr>
              <w:ind w:left="59"/>
              <w:rPr>
                <w:color w:val="666666"/>
                <w:sz w:val="20"/>
                <w:szCs w:val="20"/>
              </w:rPr>
            </w:pPr>
            <w:r w:rsidRPr="00E51DFF">
              <w:rPr>
                <w:color w:val="666666"/>
                <w:sz w:val="20"/>
                <w:szCs w:val="20"/>
              </w:rPr>
              <w:t>Employees who have been called for jury duty or are serving as a grand or petit juror</w:t>
            </w:r>
          </w:p>
        </w:tc>
        <w:tc>
          <w:tcPr>
            <w:tcW w:w="2878" w:type="dxa"/>
            <w:shd w:val="clear" w:color="auto" w:fill="FFFFFF"/>
            <w:tcMar>
              <w:top w:w="0" w:type="dxa"/>
              <w:left w:w="0" w:type="dxa"/>
              <w:bottom w:w="0" w:type="dxa"/>
              <w:right w:w="0" w:type="dxa"/>
            </w:tcMar>
            <w:vAlign w:val="center"/>
            <w:hideMark/>
          </w:tcPr>
          <w:p w14:paraId="08E58D24" w14:textId="77777777" w:rsidR="008A5592" w:rsidRPr="00E51DFF" w:rsidRDefault="008A5592" w:rsidP="00235684">
            <w:pPr>
              <w:ind w:left="89"/>
              <w:rPr>
                <w:color w:val="666666"/>
                <w:sz w:val="20"/>
                <w:szCs w:val="20"/>
              </w:rPr>
            </w:pPr>
            <w:r w:rsidRPr="00E51DFF">
              <w:rPr>
                <w:color w:val="666666"/>
                <w:sz w:val="20"/>
                <w:szCs w:val="20"/>
              </w:rPr>
              <w:t>Civil actions must be brought within 1 year from the date of the alleged violation</w:t>
            </w:r>
          </w:p>
        </w:tc>
      </w:tr>
      <w:tr w:rsidR="008A5592" w:rsidRPr="00E51DFF" w14:paraId="1891BDBC" w14:textId="77777777" w:rsidTr="00235684">
        <w:trPr>
          <w:trHeight w:val="732"/>
        </w:trPr>
        <w:tc>
          <w:tcPr>
            <w:tcW w:w="0" w:type="auto"/>
            <w:shd w:val="clear" w:color="auto" w:fill="FFFFFF"/>
            <w:tcMar>
              <w:top w:w="0" w:type="dxa"/>
              <w:left w:w="0" w:type="dxa"/>
              <w:bottom w:w="0" w:type="dxa"/>
              <w:right w:w="0" w:type="dxa"/>
            </w:tcMar>
            <w:vAlign w:val="center"/>
            <w:hideMark/>
          </w:tcPr>
          <w:p w14:paraId="46605FDD" w14:textId="77777777" w:rsidR="008A5592" w:rsidRPr="00E51DFF" w:rsidRDefault="008A5592" w:rsidP="00235684">
            <w:pPr>
              <w:rPr>
                <w:color w:val="666666"/>
                <w:sz w:val="20"/>
                <w:szCs w:val="20"/>
              </w:rPr>
            </w:pPr>
            <w:r w:rsidRPr="00E51DFF">
              <w:rPr>
                <w:b/>
                <w:bCs/>
                <w:color w:val="666666"/>
                <w:sz w:val="20"/>
                <w:szCs w:val="20"/>
              </w:rPr>
              <w:lastRenderedPageBreak/>
              <w:t>Discrimination Based on Military Service</w:t>
            </w:r>
            <w:r w:rsidRPr="00E51DFF">
              <w:rPr>
                <w:color w:val="666666"/>
                <w:sz w:val="20"/>
                <w:szCs w:val="20"/>
              </w:rPr>
              <w:t> (N.C. Gen. Stat. § 127A-202.1)</w:t>
            </w:r>
          </w:p>
        </w:tc>
        <w:tc>
          <w:tcPr>
            <w:tcW w:w="1756" w:type="dxa"/>
            <w:shd w:val="clear" w:color="auto" w:fill="FFFFFF"/>
            <w:tcMar>
              <w:top w:w="0" w:type="dxa"/>
              <w:left w:w="0" w:type="dxa"/>
              <w:bottom w:w="0" w:type="dxa"/>
              <w:right w:w="0" w:type="dxa"/>
            </w:tcMar>
            <w:vAlign w:val="center"/>
            <w:hideMark/>
          </w:tcPr>
          <w:p w14:paraId="7A4A8503" w14:textId="77777777" w:rsidR="008A5592" w:rsidRPr="00E51DFF" w:rsidRDefault="008A5592" w:rsidP="00235684">
            <w:pPr>
              <w:ind w:left="30"/>
              <w:rPr>
                <w:color w:val="666666"/>
                <w:sz w:val="20"/>
                <w:szCs w:val="20"/>
              </w:rPr>
            </w:pPr>
            <w:r w:rsidRPr="00E51DFF">
              <w:rPr>
                <w:color w:val="666666"/>
                <w:sz w:val="20"/>
                <w:szCs w:val="20"/>
              </w:rPr>
              <w:t>All NC employers</w:t>
            </w:r>
          </w:p>
        </w:tc>
        <w:tc>
          <w:tcPr>
            <w:tcW w:w="3600" w:type="dxa"/>
            <w:shd w:val="clear" w:color="auto" w:fill="FFFFFF"/>
            <w:tcMar>
              <w:top w:w="0" w:type="dxa"/>
              <w:left w:w="0" w:type="dxa"/>
              <w:bottom w:w="0" w:type="dxa"/>
              <w:right w:w="0" w:type="dxa"/>
            </w:tcMar>
            <w:vAlign w:val="center"/>
            <w:hideMark/>
          </w:tcPr>
          <w:p w14:paraId="17DDBB3B" w14:textId="77777777" w:rsidR="008A5592" w:rsidRPr="00E51DFF" w:rsidRDefault="008A5592" w:rsidP="00235684">
            <w:pPr>
              <w:ind w:left="59"/>
              <w:rPr>
                <w:color w:val="666666"/>
                <w:sz w:val="20"/>
                <w:szCs w:val="20"/>
              </w:rPr>
            </w:pPr>
            <w:r w:rsidRPr="00E51DFF">
              <w:rPr>
                <w:color w:val="666666"/>
                <w:sz w:val="20"/>
                <w:szCs w:val="20"/>
              </w:rPr>
              <w:t>Any individual who performs, has performed, applied to perform, or has an obligation to perform National Guard Service</w:t>
            </w:r>
          </w:p>
        </w:tc>
        <w:tc>
          <w:tcPr>
            <w:tcW w:w="2878" w:type="dxa"/>
            <w:shd w:val="clear" w:color="auto" w:fill="FFFFFF"/>
            <w:tcMar>
              <w:top w:w="0" w:type="dxa"/>
              <w:left w:w="0" w:type="dxa"/>
              <w:bottom w:w="0" w:type="dxa"/>
              <w:right w:w="0" w:type="dxa"/>
            </w:tcMar>
            <w:vAlign w:val="center"/>
            <w:hideMark/>
          </w:tcPr>
          <w:p w14:paraId="306472B8" w14:textId="77777777" w:rsidR="008A5592" w:rsidRPr="00E51DFF" w:rsidRDefault="008A5592" w:rsidP="00235684">
            <w:pPr>
              <w:ind w:left="89"/>
              <w:rPr>
                <w:color w:val="666666"/>
                <w:sz w:val="20"/>
                <w:szCs w:val="20"/>
              </w:rPr>
            </w:pPr>
            <w:r w:rsidRPr="00E51DFF">
              <w:rPr>
                <w:color w:val="666666"/>
                <w:sz w:val="20"/>
                <w:szCs w:val="20"/>
              </w:rPr>
              <w:t>For wrongful discharge: 3 years</w:t>
            </w:r>
          </w:p>
        </w:tc>
      </w:tr>
      <w:tr w:rsidR="008A5592" w:rsidRPr="00E51DFF" w14:paraId="62F8110A" w14:textId="77777777" w:rsidTr="00235684">
        <w:trPr>
          <w:trHeight w:val="970"/>
        </w:trPr>
        <w:tc>
          <w:tcPr>
            <w:tcW w:w="0" w:type="auto"/>
            <w:shd w:val="clear" w:color="auto" w:fill="FFFFFF"/>
            <w:tcMar>
              <w:top w:w="0" w:type="dxa"/>
              <w:left w:w="0" w:type="dxa"/>
              <w:bottom w:w="0" w:type="dxa"/>
              <w:right w:w="0" w:type="dxa"/>
            </w:tcMar>
            <w:vAlign w:val="center"/>
            <w:hideMark/>
          </w:tcPr>
          <w:p w14:paraId="2A289450" w14:textId="77777777" w:rsidR="008A5592" w:rsidRPr="00E51DFF" w:rsidRDefault="008A5592" w:rsidP="00235684">
            <w:pPr>
              <w:rPr>
                <w:color w:val="666666"/>
                <w:sz w:val="20"/>
                <w:szCs w:val="20"/>
              </w:rPr>
            </w:pPr>
            <w:r w:rsidRPr="00E51DFF">
              <w:rPr>
                <w:b/>
                <w:bCs/>
                <w:color w:val="666666"/>
                <w:sz w:val="20"/>
                <w:szCs w:val="20"/>
              </w:rPr>
              <w:t>Persons with Disabilities Protection Act</w:t>
            </w:r>
            <w:r w:rsidRPr="00E51DFF">
              <w:rPr>
                <w:color w:val="666666"/>
                <w:sz w:val="20"/>
                <w:szCs w:val="20"/>
              </w:rPr>
              <w:t> (N.C. Gen. Stat. §§ 168A-1 to 168A-12)</w:t>
            </w:r>
          </w:p>
        </w:tc>
        <w:tc>
          <w:tcPr>
            <w:tcW w:w="1756" w:type="dxa"/>
            <w:shd w:val="clear" w:color="auto" w:fill="FFFFFF"/>
            <w:tcMar>
              <w:top w:w="0" w:type="dxa"/>
              <w:left w:w="0" w:type="dxa"/>
              <w:bottom w:w="0" w:type="dxa"/>
              <w:right w:w="0" w:type="dxa"/>
            </w:tcMar>
            <w:vAlign w:val="center"/>
            <w:hideMark/>
          </w:tcPr>
          <w:p w14:paraId="71CE91AF" w14:textId="77777777" w:rsidR="008A5592" w:rsidRPr="00E51DFF" w:rsidRDefault="008A5592" w:rsidP="00235684">
            <w:pPr>
              <w:ind w:left="30"/>
              <w:rPr>
                <w:color w:val="666666"/>
                <w:sz w:val="20"/>
                <w:szCs w:val="20"/>
              </w:rPr>
            </w:pPr>
            <w:r w:rsidRPr="00E51DFF">
              <w:rPr>
                <w:color w:val="666666"/>
                <w:sz w:val="20"/>
                <w:szCs w:val="20"/>
              </w:rPr>
              <w:t>All NC employers regularly employing 15+ full time employees within NC</w:t>
            </w:r>
          </w:p>
        </w:tc>
        <w:tc>
          <w:tcPr>
            <w:tcW w:w="3600" w:type="dxa"/>
            <w:shd w:val="clear" w:color="auto" w:fill="FFFFFF"/>
            <w:tcMar>
              <w:top w:w="0" w:type="dxa"/>
              <w:left w:w="0" w:type="dxa"/>
              <w:bottom w:w="0" w:type="dxa"/>
              <w:right w:w="0" w:type="dxa"/>
            </w:tcMar>
            <w:vAlign w:val="center"/>
            <w:hideMark/>
          </w:tcPr>
          <w:p w14:paraId="1CB7D180" w14:textId="77777777" w:rsidR="008A5592" w:rsidRPr="00E51DFF" w:rsidRDefault="008A5592" w:rsidP="00235684">
            <w:pPr>
              <w:ind w:left="59"/>
              <w:rPr>
                <w:color w:val="666666"/>
                <w:sz w:val="20"/>
                <w:szCs w:val="20"/>
              </w:rPr>
            </w:pPr>
            <w:r w:rsidRPr="00E51DFF">
              <w:rPr>
                <w:color w:val="666666"/>
                <w:sz w:val="20"/>
                <w:szCs w:val="20"/>
              </w:rPr>
              <w:t>Qualified persons with disabilities (absent exemption)</w:t>
            </w:r>
          </w:p>
        </w:tc>
        <w:tc>
          <w:tcPr>
            <w:tcW w:w="2878" w:type="dxa"/>
            <w:shd w:val="clear" w:color="auto" w:fill="FFFFFF"/>
            <w:tcMar>
              <w:top w:w="0" w:type="dxa"/>
              <w:left w:w="0" w:type="dxa"/>
              <w:bottom w:w="0" w:type="dxa"/>
              <w:right w:w="0" w:type="dxa"/>
            </w:tcMar>
            <w:vAlign w:val="center"/>
            <w:hideMark/>
          </w:tcPr>
          <w:p w14:paraId="52ECD6C4" w14:textId="77777777" w:rsidR="008A5592" w:rsidRPr="00E51DFF" w:rsidRDefault="008A5592" w:rsidP="00235684">
            <w:pPr>
              <w:ind w:left="89"/>
              <w:rPr>
                <w:color w:val="666666"/>
                <w:sz w:val="20"/>
                <w:szCs w:val="20"/>
              </w:rPr>
            </w:pPr>
            <w:r w:rsidRPr="00E51DFF">
              <w:rPr>
                <w:color w:val="666666"/>
                <w:sz w:val="20"/>
                <w:szCs w:val="20"/>
              </w:rPr>
              <w:t>Claims must be brought within 180 days after date employee became aware of, or should have become aware of, the discriminatory practice or conduct</w:t>
            </w:r>
          </w:p>
        </w:tc>
      </w:tr>
      <w:tr w:rsidR="008A5592" w:rsidRPr="00E51DFF" w14:paraId="6D6E6EB9" w14:textId="77777777" w:rsidTr="00235684">
        <w:trPr>
          <w:trHeight w:val="1227"/>
        </w:trPr>
        <w:tc>
          <w:tcPr>
            <w:tcW w:w="0" w:type="auto"/>
            <w:shd w:val="clear" w:color="auto" w:fill="FFFFFF"/>
            <w:tcMar>
              <w:top w:w="0" w:type="dxa"/>
              <w:left w:w="0" w:type="dxa"/>
              <w:bottom w:w="0" w:type="dxa"/>
              <w:right w:w="0" w:type="dxa"/>
            </w:tcMar>
            <w:vAlign w:val="center"/>
            <w:hideMark/>
          </w:tcPr>
          <w:p w14:paraId="61B2A5CA" w14:textId="77777777" w:rsidR="008A5592" w:rsidRPr="00E51DFF" w:rsidRDefault="008A5592" w:rsidP="00235684">
            <w:pPr>
              <w:rPr>
                <w:color w:val="666666"/>
                <w:sz w:val="20"/>
                <w:szCs w:val="20"/>
              </w:rPr>
            </w:pPr>
            <w:r w:rsidRPr="00E51DFF">
              <w:rPr>
                <w:b/>
                <w:bCs/>
                <w:color w:val="666666"/>
                <w:sz w:val="20"/>
                <w:szCs w:val="20"/>
              </w:rPr>
              <w:t>Retaliatory Employment Discrimination Act</w:t>
            </w:r>
            <w:r w:rsidRPr="00E51DFF">
              <w:rPr>
                <w:color w:val="666666"/>
                <w:sz w:val="20"/>
                <w:szCs w:val="20"/>
              </w:rPr>
              <w:t> (N.C. Gen. Stat. §§ 95-240 to 95-245)</w:t>
            </w:r>
          </w:p>
        </w:tc>
        <w:tc>
          <w:tcPr>
            <w:tcW w:w="1756" w:type="dxa"/>
            <w:shd w:val="clear" w:color="auto" w:fill="FFFFFF"/>
            <w:tcMar>
              <w:top w:w="0" w:type="dxa"/>
              <w:left w:w="0" w:type="dxa"/>
              <w:bottom w:w="0" w:type="dxa"/>
              <w:right w:w="0" w:type="dxa"/>
            </w:tcMar>
            <w:vAlign w:val="center"/>
            <w:hideMark/>
          </w:tcPr>
          <w:p w14:paraId="1D8F2B93" w14:textId="77777777" w:rsidR="008A5592" w:rsidRPr="00E51DFF" w:rsidRDefault="008A5592" w:rsidP="00235684">
            <w:pPr>
              <w:ind w:left="30"/>
              <w:rPr>
                <w:color w:val="666666"/>
                <w:sz w:val="20"/>
                <w:szCs w:val="20"/>
              </w:rPr>
            </w:pPr>
            <w:r w:rsidRPr="00E51DFF">
              <w:rPr>
                <w:color w:val="666666"/>
                <w:sz w:val="20"/>
                <w:szCs w:val="20"/>
              </w:rPr>
              <w:t>All NC employers</w:t>
            </w:r>
          </w:p>
        </w:tc>
        <w:tc>
          <w:tcPr>
            <w:tcW w:w="3600" w:type="dxa"/>
            <w:shd w:val="clear" w:color="auto" w:fill="FFFFFF"/>
            <w:tcMar>
              <w:top w:w="0" w:type="dxa"/>
              <w:left w:w="0" w:type="dxa"/>
              <w:bottom w:w="0" w:type="dxa"/>
              <w:right w:w="0" w:type="dxa"/>
            </w:tcMar>
            <w:vAlign w:val="center"/>
            <w:hideMark/>
          </w:tcPr>
          <w:p w14:paraId="18875D2D" w14:textId="77777777" w:rsidR="008A5592" w:rsidRPr="00E51DFF" w:rsidRDefault="008A5592" w:rsidP="00235684">
            <w:pPr>
              <w:ind w:left="59"/>
              <w:rPr>
                <w:color w:val="666666"/>
                <w:sz w:val="20"/>
                <w:szCs w:val="20"/>
              </w:rPr>
            </w:pPr>
            <w:r w:rsidRPr="00E51DFF">
              <w:rPr>
                <w:color w:val="666666"/>
                <w:sz w:val="20"/>
                <w:szCs w:val="20"/>
              </w:rPr>
              <w:t xml:space="preserve">Employees who, in good faith, take or threaten to </w:t>
            </w:r>
            <w:proofErr w:type="gramStart"/>
            <w:r w:rsidRPr="00E51DFF">
              <w:rPr>
                <w:color w:val="666666"/>
                <w:sz w:val="20"/>
                <w:szCs w:val="20"/>
              </w:rPr>
              <w:t>take action</w:t>
            </w:r>
            <w:proofErr w:type="gramEnd"/>
            <w:r w:rsidRPr="00E51DFF">
              <w:rPr>
                <w:color w:val="666666"/>
                <w:sz w:val="20"/>
                <w:szCs w:val="20"/>
              </w:rPr>
              <w:t xml:space="preserve"> under various NC laws (ex. Workers Compensation Act, Wage and Hour Act, OSHA, etc.)</w:t>
            </w:r>
          </w:p>
        </w:tc>
        <w:tc>
          <w:tcPr>
            <w:tcW w:w="2878" w:type="dxa"/>
            <w:shd w:val="clear" w:color="auto" w:fill="FFFFFF"/>
            <w:tcMar>
              <w:top w:w="0" w:type="dxa"/>
              <w:left w:w="0" w:type="dxa"/>
              <w:bottom w:w="0" w:type="dxa"/>
              <w:right w:w="0" w:type="dxa"/>
            </w:tcMar>
            <w:vAlign w:val="center"/>
            <w:hideMark/>
          </w:tcPr>
          <w:p w14:paraId="1C0E58B9" w14:textId="77777777" w:rsidR="008A5592" w:rsidRPr="00E51DFF" w:rsidRDefault="008A5592" w:rsidP="00235684">
            <w:pPr>
              <w:ind w:left="89"/>
              <w:rPr>
                <w:color w:val="666666"/>
                <w:sz w:val="20"/>
                <w:szCs w:val="20"/>
              </w:rPr>
            </w:pPr>
            <w:r w:rsidRPr="00E51DFF">
              <w:rPr>
                <w:color w:val="666666"/>
                <w:sz w:val="20"/>
                <w:szCs w:val="20"/>
              </w:rPr>
              <w:t>Claims must be brought to NC DOL within 180 days of violation and suits filed within 90 days after receiving a right-to-sue letter from the NC DOL</w:t>
            </w:r>
          </w:p>
        </w:tc>
      </w:tr>
    </w:tbl>
    <w:p w14:paraId="409A8DEB" w14:textId="77777777" w:rsidR="008A5592" w:rsidRDefault="008A5592" w:rsidP="008A5592">
      <w:pPr>
        <w:rPr>
          <w:color w:val="666666"/>
          <w:sz w:val="20"/>
          <w:szCs w:val="20"/>
        </w:rPr>
      </w:pPr>
    </w:p>
    <w:p w14:paraId="04433AA1" w14:textId="77777777" w:rsidR="008A5592" w:rsidRPr="00E51DFF" w:rsidRDefault="008A5592" w:rsidP="008A5592">
      <w:pPr>
        <w:rPr>
          <w:color w:val="666666"/>
          <w:sz w:val="20"/>
          <w:szCs w:val="20"/>
        </w:rPr>
      </w:pPr>
      <w:r>
        <w:rPr>
          <w:color w:val="666666"/>
          <w:sz w:val="20"/>
          <w:szCs w:val="20"/>
        </w:rPr>
        <w:t>There</w:t>
      </w:r>
      <w:r w:rsidRPr="00E51DFF">
        <w:rPr>
          <w:color w:val="666666"/>
          <w:sz w:val="20"/>
          <w:szCs w:val="20"/>
        </w:rPr>
        <w:t xml:space="preserve"> are many other state </w:t>
      </w:r>
      <w:r>
        <w:rPr>
          <w:color w:val="666666"/>
          <w:sz w:val="20"/>
          <w:szCs w:val="20"/>
        </w:rPr>
        <w:t xml:space="preserve">and federal </w:t>
      </w:r>
      <w:r w:rsidRPr="00E51DFF">
        <w:rPr>
          <w:color w:val="666666"/>
          <w:sz w:val="20"/>
          <w:szCs w:val="20"/>
        </w:rPr>
        <w:t xml:space="preserve">provisions that protect both employers and employees in NC. If your organization has questions about suspected discrimination or retaliation or possible legal issues, please feel free to reach out to </w:t>
      </w:r>
      <w:r>
        <w:rPr>
          <w:color w:val="666666"/>
          <w:sz w:val="20"/>
          <w:szCs w:val="20"/>
        </w:rPr>
        <w:t>the Catapult Advice Team</w:t>
      </w:r>
      <w:r w:rsidRPr="00E51DFF">
        <w:rPr>
          <w:color w:val="666666"/>
          <w:sz w:val="20"/>
          <w:szCs w:val="20"/>
        </w:rPr>
        <w:t>.</w:t>
      </w:r>
    </w:p>
    <w:p w14:paraId="222CE631" w14:textId="77777777" w:rsidR="008A5592" w:rsidRPr="007918C8" w:rsidRDefault="008A5592" w:rsidP="008A5592">
      <w:pPr>
        <w:rPr>
          <w:color w:val="666666"/>
          <w:sz w:val="20"/>
          <w:szCs w:val="20"/>
        </w:rPr>
      </w:pPr>
    </w:p>
    <w:p w14:paraId="2F87A604" w14:textId="77777777" w:rsidR="008A5592" w:rsidRDefault="008A5592" w:rsidP="008A5592">
      <w:pPr>
        <w:rPr>
          <w:color w:val="666666"/>
          <w:sz w:val="20"/>
          <w:szCs w:val="20"/>
        </w:rPr>
      </w:pPr>
      <w:r>
        <w:rPr>
          <w:color w:val="666666"/>
          <w:sz w:val="20"/>
          <w:szCs w:val="20"/>
        </w:rPr>
        <w:t>Written by a contributor from Soule Law Firm.</w:t>
      </w:r>
    </w:p>
    <w:p w14:paraId="01F8B47C" w14:textId="77777777" w:rsidR="008A5592" w:rsidRDefault="008A5592" w:rsidP="008A5592">
      <w:pPr>
        <w:rPr>
          <w:color w:val="666666"/>
          <w:sz w:val="20"/>
          <w:szCs w:val="20"/>
        </w:rPr>
      </w:pPr>
    </w:p>
    <w:p w14:paraId="3D30A208" w14:textId="77777777" w:rsidR="008A5592" w:rsidRPr="007918C8" w:rsidRDefault="008A5592" w:rsidP="008A5592">
      <w:pPr>
        <w:rPr>
          <w:color w:val="666666"/>
          <w:sz w:val="20"/>
          <w:szCs w:val="20"/>
        </w:rPr>
      </w:pPr>
      <w:r>
        <w:rPr>
          <w:color w:val="666666"/>
          <w:sz w:val="20"/>
          <w:szCs w:val="20"/>
        </w:rPr>
        <w:t>Reviewed for NC law only.</w:t>
      </w:r>
    </w:p>
    <w:p w14:paraId="0DC4F476" w14:textId="77777777" w:rsidR="008A5592" w:rsidRPr="00B26E6A" w:rsidRDefault="008A5592" w:rsidP="008A5592">
      <w:pPr>
        <w:rPr>
          <w:b/>
          <w:bCs/>
          <w:color w:val="666666"/>
          <w:sz w:val="20"/>
          <w:szCs w:val="20"/>
        </w:rPr>
      </w:pPr>
    </w:p>
    <w:p w14:paraId="57E31E65" w14:textId="77777777" w:rsidR="008A5592" w:rsidRPr="00933510" w:rsidRDefault="008A5592" w:rsidP="008A5592">
      <w:pPr>
        <w:rPr>
          <w:color w:val="666666"/>
          <w:sz w:val="20"/>
          <w:szCs w:val="20"/>
        </w:rPr>
      </w:pPr>
      <w:r w:rsidRPr="00933510">
        <w:rPr>
          <w:color w:val="666666"/>
          <w:sz w:val="20"/>
          <w:szCs w:val="20"/>
        </w:rPr>
        <w:t xml:space="preserve"> </w:t>
      </w:r>
    </w:p>
    <w:p w14:paraId="3F11E621" w14:textId="77777777" w:rsidR="008A5592" w:rsidRPr="00933510" w:rsidRDefault="008A5592" w:rsidP="008A5592">
      <w:pPr>
        <w:rPr>
          <w:sz w:val="20"/>
          <w:szCs w:val="20"/>
        </w:rPr>
      </w:pPr>
    </w:p>
    <w:p w14:paraId="0AD2A6B6" w14:textId="77777777" w:rsidR="00461D9C" w:rsidRPr="008A5592" w:rsidRDefault="008A5592" w:rsidP="008A5592"/>
    <w:sectPr w:rsidR="00461D9C" w:rsidRPr="008A5592"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DE0FB"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8A5592">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CC52F"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0CB26"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BF5A0"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8A5592">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925E2"/>
    <w:multiLevelType w:val="multilevel"/>
    <w:tmpl w:val="F47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A4A6D"/>
    <w:multiLevelType w:val="multilevel"/>
    <w:tmpl w:val="FDE2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0"/>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8"/>
  </w:num>
  <w:num w:numId="14">
    <w:abstractNumId w:val="6"/>
  </w:num>
  <w:num w:numId="15">
    <w:abstractNumId w:val="21"/>
  </w:num>
  <w:num w:numId="16">
    <w:abstractNumId w:val="16"/>
  </w:num>
  <w:num w:numId="17">
    <w:abstractNumId w:val="10"/>
  </w:num>
  <w:num w:numId="18">
    <w:abstractNumId w:val="12"/>
  </w:num>
  <w:num w:numId="19">
    <w:abstractNumId w:val="8"/>
  </w:num>
  <w:num w:numId="20">
    <w:abstractNumId w:val="1"/>
  </w:num>
  <w:num w:numId="21">
    <w:abstractNumId w:val="11"/>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90988"/>
    <w:rsid w:val="00340F57"/>
    <w:rsid w:val="003B2AE3"/>
    <w:rsid w:val="00400629"/>
    <w:rsid w:val="0044286D"/>
    <w:rsid w:val="0047661F"/>
    <w:rsid w:val="00495685"/>
    <w:rsid w:val="004C1A9B"/>
    <w:rsid w:val="004D6C9F"/>
    <w:rsid w:val="004F2E5E"/>
    <w:rsid w:val="005412B8"/>
    <w:rsid w:val="00596823"/>
    <w:rsid w:val="005A1E1F"/>
    <w:rsid w:val="005A5A17"/>
    <w:rsid w:val="005B6C2D"/>
    <w:rsid w:val="00616E4A"/>
    <w:rsid w:val="006A767E"/>
    <w:rsid w:val="0070440D"/>
    <w:rsid w:val="007223A1"/>
    <w:rsid w:val="00745AC7"/>
    <w:rsid w:val="007918C8"/>
    <w:rsid w:val="007945F7"/>
    <w:rsid w:val="00795A1E"/>
    <w:rsid w:val="007E0C3E"/>
    <w:rsid w:val="007E42A3"/>
    <w:rsid w:val="0084373E"/>
    <w:rsid w:val="008548D5"/>
    <w:rsid w:val="00854AED"/>
    <w:rsid w:val="00883111"/>
    <w:rsid w:val="008950E6"/>
    <w:rsid w:val="008A5592"/>
    <w:rsid w:val="00933510"/>
    <w:rsid w:val="009559A8"/>
    <w:rsid w:val="009776EF"/>
    <w:rsid w:val="009B32AA"/>
    <w:rsid w:val="009B39B2"/>
    <w:rsid w:val="009E4AB5"/>
    <w:rsid w:val="009F224C"/>
    <w:rsid w:val="00A11EAF"/>
    <w:rsid w:val="00A645C0"/>
    <w:rsid w:val="00A71264"/>
    <w:rsid w:val="00AE5D3D"/>
    <w:rsid w:val="00B26E6A"/>
    <w:rsid w:val="00B6291D"/>
    <w:rsid w:val="00B9123C"/>
    <w:rsid w:val="00BB0A73"/>
    <w:rsid w:val="00BE0299"/>
    <w:rsid w:val="00C25833"/>
    <w:rsid w:val="00C46000"/>
    <w:rsid w:val="00CA033A"/>
    <w:rsid w:val="00CC2425"/>
    <w:rsid w:val="00CC2BBF"/>
    <w:rsid w:val="00D06DCD"/>
    <w:rsid w:val="00D07A79"/>
    <w:rsid w:val="00D957F4"/>
    <w:rsid w:val="00D97354"/>
    <w:rsid w:val="00E50642"/>
    <w:rsid w:val="00E51DFF"/>
    <w:rsid w:val="00E86856"/>
    <w:rsid w:val="00EC6134"/>
    <w:rsid w:val="00ED2BA7"/>
    <w:rsid w:val="00EF662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312">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60931970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2021-04-30T12:16:00Z</dcterms:created>
  <dcterms:modified xsi:type="dcterms:W3CDTF">2021-04-30T12:16:00Z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