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3510" w:rsidR="00D07A79" w:rsidP="00D07A79" w:rsidRDefault="0044040D" w14:paraId="42DB3E1C" w14:textId="2C31DE73">
      <w:pPr>
        <w:rPr>
          <w:b/>
          <w:bCs/>
          <w:color w:val="440056"/>
        </w:rPr>
      </w:pPr>
      <w:r>
        <w:rPr>
          <w:b/>
          <w:bCs/>
          <w:color w:val="440056"/>
        </w:rPr>
        <w:t>Workers’ Compensation Remedies</w:t>
      </w:r>
    </w:p>
    <w:p w:rsidR="00D07A79" w:rsidP="00D07A79" w:rsidRDefault="00D07A79" w14:paraId="6FEA900F" w14:textId="10039405">
      <w:pPr>
        <w:rPr>
          <w:rFonts w:cs="Times New Roman (Body CS)"/>
          <w:color w:val="666666"/>
          <w:spacing w:val="20"/>
          <w:kern w:val="22"/>
          <w:sz w:val="20"/>
          <w:szCs w:val="20"/>
        </w:rPr>
      </w:pPr>
    </w:p>
    <w:p w:rsidR="0044040D" w:rsidP="0044040D" w:rsidRDefault="0044040D" w14:paraId="456387FF" w14:textId="4172FD24">
      <w:pPr>
        <w:shd w:val="clear" w:color="auto" w:fill="FFFFFF"/>
        <w:spacing w:line="420" w:lineRule="atLeast"/>
        <w:rPr>
          <w:rFonts w:eastAsia="Times New Roman" w:cstheme="minorHAnsi"/>
          <w:color w:val="303030"/>
          <w:sz w:val="20"/>
          <w:szCs w:val="20"/>
          <w:lang w:bidi="ar-SA"/>
        </w:rPr>
      </w:pPr>
      <w:r w:rsidRPr="0044040D">
        <w:rPr>
          <w:rFonts w:eastAsia="Times New Roman" w:cstheme="minorHAnsi"/>
          <w:color w:val="303030"/>
          <w:sz w:val="20"/>
          <w:szCs w:val="20"/>
          <w:lang w:bidi="ar-SA"/>
        </w:rPr>
        <w:t>An employee’s ability to recover damages from work-related injuries and/or illnesses outside of benefits provided by the North Carolina Workers’ Compensation Act is extremely limited.  It has been long standing that workers’ compensation benefits are the </w:t>
      </w:r>
      <w:r w:rsidRPr="0044040D">
        <w:rPr>
          <w:rFonts w:eastAsia="Times New Roman" w:cstheme="minorHAnsi"/>
          <w:i/>
          <w:iCs/>
          <w:color w:val="303030"/>
          <w:sz w:val="20"/>
          <w:szCs w:val="20"/>
          <w:lang w:bidi="ar-SA"/>
        </w:rPr>
        <w:t>exclusive </w:t>
      </w:r>
      <w:r w:rsidRPr="0044040D">
        <w:rPr>
          <w:rFonts w:eastAsia="Times New Roman" w:cstheme="minorHAnsi"/>
          <w:color w:val="303030"/>
          <w:sz w:val="20"/>
          <w:szCs w:val="20"/>
          <w:lang w:bidi="ar-SA"/>
        </w:rPr>
        <w:t>remedy</w:t>
      </w:r>
      <w:r w:rsidRPr="0044040D">
        <w:rPr>
          <w:rFonts w:eastAsia="Times New Roman" w:cstheme="minorHAnsi"/>
          <w:i/>
          <w:iCs/>
          <w:color w:val="303030"/>
          <w:sz w:val="20"/>
          <w:szCs w:val="20"/>
          <w:lang w:bidi="ar-SA"/>
        </w:rPr>
        <w:t> </w:t>
      </w:r>
      <w:r w:rsidRPr="0044040D">
        <w:rPr>
          <w:rFonts w:eastAsia="Times New Roman" w:cstheme="minorHAnsi"/>
          <w:color w:val="303030"/>
          <w:sz w:val="20"/>
          <w:szCs w:val="20"/>
          <w:lang w:bidi="ar-SA"/>
        </w:rPr>
        <w:t>for</w:t>
      </w:r>
      <w:r>
        <w:rPr>
          <w:rFonts w:eastAsia="Times New Roman" w:cstheme="minorHAnsi"/>
          <w:color w:val="303030"/>
          <w:sz w:val="20"/>
          <w:szCs w:val="20"/>
          <w:lang w:bidi="ar-SA"/>
        </w:rPr>
        <w:t xml:space="preserve"> </w:t>
      </w:r>
      <w:r w:rsidRPr="0044040D">
        <w:rPr>
          <w:rFonts w:eastAsia="Times New Roman" w:cstheme="minorHAnsi"/>
          <w:color w:val="303030"/>
          <w:sz w:val="20"/>
          <w:szCs w:val="20"/>
          <w:lang w:bidi="ar-SA"/>
        </w:rPr>
        <w:t>work-related injuries and/or illnesses.</w:t>
      </w:r>
    </w:p>
    <w:p w:rsidRPr="0044040D" w:rsidR="0044040D" w:rsidP="0044040D" w:rsidRDefault="0044040D" w14:paraId="73662F1C" w14:textId="77777777">
      <w:pPr>
        <w:shd w:val="clear" w:color="auto" w:fill="FFFFFF"/>
        <w:spacing w:line="420" w:lineRule="atLeast"/>
        <w:rPr>
          <w:rFonts w:eastAsia="Times New Roman" w:cstheme="minorHAnsi"/>
          <w:color w:val="303030"/>
          <w:sz w:val="20"/>
          <w:szCs w:val="20"/>
          <w:lang w:bidi="ar-SA"/>
        </w:rPr>
      </w:pPr>
    </w:p>
    <w:p w:rsidR="0044040D" w:rsidP="0044040D" w:rsidRDefault="0044040D" w14:paraId="166524C5" w14:textId="322A27A1">
      <w:pPr>
        <w:shd w:val="clear" w:color="auto" w:fill="FFFFFF"/>
        <w:spacing w:line="420" w:lineRule="atLeast"/>
        <w:rPr>
          <w:rFonts w:eastAsia="Times New Roman" w:cstheme="minorHAnsi"/>
          <w:color w:val="303030"/>
          <w:sz w:val="20"/>
          <w:szCs w:val="20"/>
          <w:lang w:bidi="ar-SA"/>
        </w:rPr>
      </w:pPr>
      <w:r w:rsidRPr="0044040D">
        <w:rPr>
          <w:rFonts w:eastAsia="Times New Roman" w:cstheme="minorHAnsi"/>
          <w:color w:val="303030"/>
          <w:sz w:val="20"/>
          <w:szCs w:val="20"/>
          <w:lang w:bidi="ar-SA"/>
        </w:rPr>
        <w:t>The </w:t>
      </w:r>
      <w:r w:rsidRPr="0044040D">
        <w:rPr>
          <w:rFonts w:eastAsia="Times New Roman" w:cstheme="minorHAnsi"/>
          <w:i/>
          <w:iCs/>
          <w:color w:val="303030"/>
          <w:sz w:val="20"/>
          <w:szCs w:val="20"/>
          <w:lang w:bidi="ar-SA"/>
        </w:rPr>
        <w:t>exclusive</w:t>
      </w:r>
      <w:r w:rsidRPr="0044040D">
        <w:rPr>
          <w:rFonts w:eastAsia="Times New Roman" w:cstheme="minorHAnsi"/>
          <w:color w:val="303030"/>
          <w:sz w:val="20"/>
          <w:szCs w:val="20"/>
          <w:lang w:bidi="ar-SA"/>
        </w:rPr>
        <w:t> remedy position was altered, however, by the 1991 North Carolina Supreme Court decision in the case of </w:t>
      </w:r>
      <w:r w:rsidRPr="0044040D">
        <w:rPr>
          <w:rFonts w:eastAsia="Times New Roman" w:cstheme="minorHAnsi"/>
          <w:i/>
          <w:iCs/>
          <w:color w:val="303030"/>
          <w:sz w:val="20"/>
          <w:szCs w:val="20"/>
          <w:lang w:bidi="ar-SA"/>
        </w:rPr>
        <w:t>Woodson v. Rowland.  </w:t>
      </w:r>
      <w:r w:rsidRPr="0044040D">
        <w:rPr>
          <w:rFonts w:eastAsia="Times New Roman" w:cstheme="minorHAnsi"/>
          <w:color w:val="303030"/>
          <w:sz w:val="20"/>
          <w:szCs w:val="20"/>
          <w:lang w:bidi="ar-SA"/>
        </w:rPr>
        <w:t>In this landmark decision, the court held that where an employer intentionally engages in conduct, knowing that such is certain to cause an employee to suffer serious injury or death, the employee or its representatives may pursue actions against an employer in civil court.  Such actions, if successful, can result in monetary damages that far exceed those awarded in workers’ compensation claims. </w:t>
      </w:r>
    </w:p>
    <w:p w:rsidRPr="0044040D" w:rsidR="0044040D" w:rsidP="0044040D" w:rsidRDefault="0044040D" w14:paraId="163F190B" w14:textId="77777777">
      <w:pPr>
        <w:shd w:val="clear" w:color="auto" w:fill="FFFFFF"/>
        <w:spacing w:line="420" w:lineRule="atLeast"/>
        <w:rPr>
          <w:rFonts w:eastAsia="Times New Roman" w:cstheme="minorHAnsi"/>
          <w:color w:val="303030"/>
          <w:sz w:val="20"/>
          <w:szCs w:val="20"/>
          <w:lang w:bidi="ar-SA"/>
        </w:rPr>
      </w:pPr>
    </w:p>
    <w:p w:rsidRPr="0044040D" w:rsidR="0044040D" w:rsidP="0044040D" w:rsidRDefault="0044040D" w14:paraId="414058F5" w14:textId="77777777">
      <w:pPr>
        <w:shd w:val="clear" w:color="auto" w:fill="FFFFFF"/>
        <w:spacing w:line="420" w:lineRule="atLeast"/>
        <w:rPr>
          <w:rFonts w:eastAsia="Times New Roman" w:cstheme="minorHAnsi"/>
          <w:color w:val="303030"/>
          <w:sz w:val="20"/>
          <w:szCs w:val="20"/>
          <w:lang w:bidi="ar-SA"/>
        </w:rPr>
      </w:pPr>
      <w:r w:rsidRPr="0044040D">
        <w:rPr>
          <w:rFonts w:eastAsia="Times New Roman" w:cstheme="minorHAnsi"/>
          <w:color w:val="303030"/>
          <w:sz w:val="20"/>
          <w:szCs w:val="20"/>
          <w:lang w:bidi="ar-SA"/>
        </w:rPr>
        <w:t>Claimants and their attorneys have not been successful in pursuing </w:t>
      </w:r>
      <w:r w:rsidRPr="0044040D">
        <w:rPr>
          <w:rFonts w:eastAsia="Times New Roman" w:cstheme="minorHAnsi"/>
          <w:i/>
          <w:iCs/>
          <w:color w:val="303030"/>
          <w:sz w:val="20"/>
          <w:szCs w:val="20"/>
          <w:lang w:bidi="ar-SA"/>
        </w:rPr>
        <w:t>Woodson </w:t>
      </w:r>
      <w:r w:rsidRPr="0044040D">
        <w:rPr>
          <w:rFonts w:eastAsia="Times New Roman" w:cstheme="minorHAnsi"/>
          <w:color w:val="303030"/>
          <w:sz w:val="20"/>
          <w:szCs w:val="20"/>
          <w:lang w:bidi="ar-SA"/>
        </w:rPr>
        <w:t>claims due to high legal hurdles.  Subsequent court decisions have ruled that claimants or their representatives must be able to establish that the employer’s dangerous or hazardous conduct was substantially certain to occur, adding that the activity or conduct in question was inherently dangerous. </w:t>
      </w:r>
    </w:p>
    <w:p w:rsidRPr="0044040D" w:rsidR="0044040D" w:rsidP="0044040D" w:rsidRDefault="0044040D" w14:paraId="5CA17C1B" w14:textId="77777777">
      <w:pPr>
        <w:shd w:val="clear" w:color="auto" w:fill="FFFFFF"/>
        <w:spacing w:line="420" w:lineRule="atLeast"/>
        <w:rPr>
          <w:rFonts w:eastAsia="Times New Roman" w:cstheme="minorHAnsi"/>
          <w:color w:val="303030"/>
          <w:sz w:val="20"/>
          <w:szCs w:val="20"/>
          <w:lang w:bidi="ar-SA"/>
        </w:rPr>
      </w:pPr>
      <w:r w:rsidRPr="0044040D">
        <w:rPr>
          <w:rFonts w:eastAsia="Times New Roman" w:cstheme="minorHAnsi"/>
          <w:color w:val="303030"/>
          <w:sz w:val="20"/>
          <w:szCs w:val="20"/>
          <w:lang w:bidi="ar-SA"/>
        </w:rPr>
        <w:t>Although most </w:t>
      </w:r>
      <w:r w:rsidRPr="0044040D">
        <w:rPr>
          <w:rFonts w:eastAsia="Times New Roman" w:cstheme="minorHAnsi"/>
          <w:i/>
          <w:iCs/>
          <w:color w:val="303030"/>
          <w:sz w:val="20"/>
          <w:szCs w:val="20"/>
          <w:lang w:bidi="ar-SA"/>
        </w:rPr>
        <w:t>Woodson </w:t>
      </w:r>
      <w:r w:rsidRPr="0044040D">
        <w:rPr>
          <w:rFonts w:eastAsia="Times New Roman" w:cstheme="minorHAnsi"/>
          <w:color w:val="303030"/>
          <w:sz w:val="20"/>
          <w:szCs w:val="20"/>
          <w:lang w:bidi="ar-SA"/>
        </w:rPr>
        <w:t>claims have not made it to trial, the exception does still exist.  Any time an employee is involved in a work-related accident that results in serious injury or death there is the possibility that an aggressive claimant’s attorney will pursue the</w:t>
      </w:r>
      <w:r w:rsidRPr="0044040D">
        <w:rPr>
          <w:rFonts w:eastAsia="Times New Roman" w:cstheme="minorHAnsi"/>
          <w:i/>
          <w:iCs/>
          <w:color w:val="303030"/>
          <w:sz w:val="20"/>
          <w:szCs w:val="20"/>
          <w:lang w:bidi="ar-SA"/>
        </w:rPr>
        <w:t> </w:t>
      </w:r>
      <w:r w:rsidRPr="0044040D">
        <w:rPr>
          <w:rFonts w:eastAsia="Times New Roman" w:cstheme="minorHAnsi"/>
          <w:color w:val="303030"/>
          <w:sz w:val="20"/>
          <w:szCs w:val="20"/>
          <w:lang w:bidi="ar-SA"/>
        </w:rPr>
        <w:t>exclusivity</w:t>
      </w:r>
      <w:r w:rsidRPr="0044040D">
        <w:rPr>
          <w:rFonts w:eastAsia="Times New Roman" w:cstheme="minorHAnsi"/>
          <w:i/>
          <w:iCs/>
          <w:color w:val="303030"/>
          <w:sz w:val="20"/>
          <w:szCs w:val="20"/>
          <w:lang w:bidi="ar-SA"/>
        </w:rPr>
        <w:t> </w:t>
      </w:r>
      <w:r w:rsidRPr="0044040D">
        <w:rPr>
          <w:rFonts w:eastAsia="Times New Roman" w:cstheme="minorHAnsi"/>
          <w:color w:val="303030"/>
          <w:sz w:val="20"/>
          <w:szCs w:val="20"/>
          <w:lang w:bidi="ar-SA"/>
        </w:rPr>
        <w:t>exception established by the North Carolina Supreme Court’s decision in </w:t>
      </w:r>
      <w:r w:rsidRPr="0044040D">
        <w:rPr>
          <w:rFonts w:eastAsia="Times New Roman" w:cstheme="minorHAnsi"/>
          <w:i/>
          <w:iCs/>
          <w:color w:val="303030"/>
          <w:sz w:val="20"/>
          <w:szCs w:val="20"/>
          <w:lang w:bidi="ar-SA"/>
        </w:rPr>
        <w:t>Woodson v Rowland.</w:t>
      </w:r>
    </w:p>
    <w:p w:rsidRPr="0044040D" w:rsidR="0044040D" w:rsidP="0044040D" w:rsidRDefault="0044040D" w14:paraId="3A22EE20" w14:textId="0DB06E66">
      <w:pPr>
        <w:shd w:val="clear" w:color="auto" w:fill="FFFFFF"/>
        <w:spacing w:line="420" w:lineRule="atLeast"/>
        <w:rPr>
          <w:rFonts w:eastAsia="Times New Roman" w:cstheme="minorHAnsi"/>
          <w:color w:val="303030"/>
          <w:sz w:val="20"/>
          <w:szCs w:val="20"/>
          <w:lang w:bidi="ar-SA"/>
        </w:rPr>
      </w:pPr>
      <w:r w:rsidRPr="0044040D">
        <w:rPr>
          <w:rFonts w:eastAsia="Times New Roman" w:cstheme="minorHAnsi"/>
          <w:color w:val="303030"/>
          <w:sz w:val="20"/>
          <w:szCs w:val="20"/>
          <w:lang w:bidi="ar-SA"/>
        </w:rPr>
        <w:t>There are several lessons that you can take-a-way from the Woodson ruling, which include:</w:t>
      </w:r>
    </w:p>
    <w:p w:rsidRPr="0044040D" w:rsidR="0044040D" w:rsidP="0044040D" w:rsidRDefault="0044040D" w14:paraId="6916250D" w14:textId="77777777">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4040D">
        <w:rPr>
          <w:rFonts w:eastAsia="Times New Roman" w:cstheme="minorHAnsi"/>
          <w:color w:val="303030"/>
          <w:sz w:val="20"/>
          <w:szCs w:val="20"/>
          <w:lang w:bidi="ar-SA"/>
        </w:rPr>
        <w:t>Occupational safety must be a top priority for today's business, particularly those in industries such as construction, utilities, mining, etc.</w:t>
      </w:r>
    </w:p>
    <w:p w:rsidRPr="0044040D" w:rsidR="0044040D" w:rsidP="6C802ED3" w:rsidRDefault="0044040D" w14:paraId="1198655A" w14:textId="56DCD320">
      <w:pPr>
        <w:numPr>
          <w:ilvl w:val="0"/>
          <w:numId w:val="22"/>
        </w:numPr>
        <w:shd w:val="clear" w:color="auto" w:fill="FFFFFF" w:themeFill="background1"/>
        <w:spacing w:before="100" w:beforeAutospacing="on" w:after="100" w:afterAutospacing="on"/>
        <w:rPr>
          <w:rFonts w:eastAsia="Times New Roman" w:cs="Calibri" w:cstheme="minorAscii"/>
          <w:color w:val="303030"/>
          <w:sz w:val="20"/>
          <w:szCs w:val="20"/>
          <w:lang w:bidi="ar-SA"/>
        </w:rPr>
      </w:pPr>
      <w:r w:rsidRPr="6C802ED3" w:rsidR="0044040D">
        <w:rPr>
          <w:rFonts w:eastAsia="Times New Roman" w:cs="Calibri" w:cstheme="minorAscii"/>
          <w:color w:val="303030"/>
          <w:sz w:val="20"/>
          <w:szCs w:val="20"/>
          <w:lang w:bidi="ar-SA"/>
        </w:rPr>
        <w:t>Providing</w:t>
      </w:r>
      <w:r w:rsidRPr="6C802ED3" w:rsidR="0044040D">
        <w:rPr>
          <w:rFonts w:eastAsia="Times New Roman" w:cs="Calibri" w:cstheme="minorAscii"/>
          <w:color w:val="303030"/>
          <w:sz w:val="20"/>
          <w:szCs w:val="20"/>
          <w:lang w:bidi="ar-SA"/>
        </w:rPr>
        <w:t xml:space="preserve"> training </w:t>
      </w:r>
      <w:r w:rsidRPr="6C802ED3" w:rsidR="61A5948E">
        <w:rPr>
          <w:rFonts w:eastAsia="Times New Roman" w:cs="Calibri" w:cstheme="minorAscii"/>
          <w:color w:val="303030"/>
          <w:sz w:val="20"/>
          <w:szCs w:val="20"/>
          <w:lang w:bidi="ar-SA"/>
        </w:rPr>
        <w:t>to</w:t>
      </w:r>
      <w:r w:rsidRPr="6C802ED3" w:rsidR="0044040D">
        <w:rPr>
          <w:rFonts w:eastAsia="Times New Roman" w:cs="Calibri" w:cstheme="minorAscii"/>
          <w:color w:val="303030"/>
          <w:sz w:val="20"/>
          <w:szCs w:val="20"/>
          <w:lang w:bidi="ar-SA"/>
        </w:rPr>
        <w:t xml:space="preserve"> </w:t>
      </w:r>
      <w:r w:rsidRPr="6C802ED3" w:rsidR="0044040D">
        <w:rPr>
          <w:rFonts w:eastAsia="Times New Roman" w:cs="Calibri" w:cstheme="minorAscii"/>
          <w:color w:val="303030"/>
          <w:sz w:val="20"/>
          <w:szCs w:val="20"/>
          <w:lang w:bidi="ar-SA"/>
        </w:rPr>
        <w:t xml:space="preserve">new employees and </w:t>
      </w:r>
      <w:r w:rsidRPr="6C802ED3" w:rsidR="0044040D">
        <w:rPr>
          <w:rFonts w:eastAsia="Times New Roman" w:cs="Calibri" w:cstheme="minorAscii"/>
          <w:color w:val="303030"/>
          <w:sz w:val="20"/>
          <w:szCs w:val="20"/>
          <w:lang w:bidi="ar-SA"/>
        </w:rPr>
        <w:t>appropriate "</w:t>
      </w:r>
      <w:r w:rsidRPr="6C802ED3" w:rsidR="0044040D">
        <w:rPr>
          <w:rFonts w:eastAsia="Times New Roman" w:cs="Calibri" w:cstheme="minorAscii"/>
          <w:color w:val="303030"/>
          <w:sz w:val="20"/>
          <w:szCs w:val="20"/>
          <w:lang w:bidi="ar-SA"/>
        </w:rPr>
        <w:t xml:space="preserve">refresher training" </w:t>
      </w:r>
      <w:bookmarkStart w:name="_Int_pW5RgRqx" w:id="1235005426"/>
      <w:r w:rsidRPr="6C802ED3" w:rsidR="0044040D">
        <w:rPr>
          <w:rFonts w:eastAsia="Times New Roman" w:cs="Calibri" w:cstheme="minorAscii"/>
          <w:color w:val="303030"/>
          <w:sz w:val="20"/>
          <w:szCs w:val="20"/>
          <w:lang w:bidi="ar-SA"/>
        </w:rPr>
        <w:t>to</w:t>
      </w:r>
      <w:bookmarkEnd w:id="1235005426"/>
      <w:r w:rsidRPr="6C802ED3" w:rsidR="0044040D">
        <w:rPr>
          <w:rFonts w:eastAsia="Times New Roman" w:cs="Calibri" w:cstheme="minorAscii"/>
          <w:color w:val="303030"/>
          <w:sz w:val="20"/>
          <w:szCs w:val="20"/>
          <w:lang w:bidi="ar-SA"/>
        </w:rPr>
        <w:t xml:space="preserve"> all employees as </w:t>
      </w:r>
      <w:r w:rsidRPr="6C802ED3" w:rsidR="0044040D">
        <w:rPr>
          <w:rFonts w:eastAsia="Times New Roman" w:cs="Calibri" w:cstheme="minorAscii"/>
          <w:color w:val="303030"/>
          <w:sz w:val="20"/>
          <w:szCs w:val="20"/>
          <w:lang w:bidi="ar-SA"/>
        </w:rPr>
        <w:t>appropriate is</w:t>
      </w:r>
      <w:r w:rsidRPr="6C802ED3" w:rsidR="0044040D">
        <w:rPr>
          <w:rFonts w:eastAsia="Times New Roman" w:cs="Calibri" w:cstheme="minorAscii"/>
          <w:color w:val="303030"/>
          <w:sz w:val="20"/>
          <w:szCs w:val="20"/>
          <w:lang w:bidi="ar-SA"/>
        </w:rPr>
        <w:t xml:space="preserve"> critical.  This is especially true for employees who work in remote areas and out in job site environments, where poor local decision</w:t>
      </w:r>
      <w:r w:rsidRPr="6C802ED3" w:rsidR="40EFFE07">
        <w:rPr>
          <w:rFonts w:eastAsia="Times New Roman" w:cs="Calibri" w:cstheme="minorAscii"/>
          <w:color w:val="303030"/>
          <w:sz w:val="20"/>
          <w:szCs w:val="20"/>
          <w:lang w:bidi="ar-SA"/>
        </w:rPr>
        <w:t>-</w:t>
      </w:r>
      <w:r w:rsidRPr="6C802ED3" w:rsidR="0044040D">
        <w:rPr>
          <w:rFonts w:eastAsia="Times New Roman" w:cs="Calibri" w:cstheme="minorAscii"/>
          <w:color w:val="303030"/>
          <w:sz w:val="20"/>
          <w:szCs w:val="20"/>
          <w:lang w:bidi="ar-SA"/>
        </w:rPr>
        <w:t xml:space="preserve">making can have catastrophic consequences.  Employees must know that when it comes to safety, </w:t>
      </w:r>
      <w:bookmarkStart w:name="_Int_ql8CGZ1k" w:id="1463820526"/>
      <w:r w:rsidRPr="6C802ED3" w:rsidR="0044040D">
        <w:rPr>
          <w:rFonts w:eastAsia="Times New Roman" w:cs="Calibri" w:cstheme="minorAscii"/>
          <w:color w:val="303030"/>
          <w:sz w:val="20"/>
          <w:szCs w:val="20"/>
          <w:lang w:bidi="ar-SA"/>
        </w:rPr>
        <w:t>shortcuts</w:t>
      </w:r>
      <w:bookmarkEnd w:id="1463820526"/>
      <w:r w:rsidRPr="6C802ED3" w:rsidR="0044040D">
        <w:rPr>
          <w:rFonts w:eastAsia="Times New Roman" w:cs="Calibri" w:cstheme="minorAscii"/>
          <w:color w:val="303030"/>
          <w:sz w:val="20"/>
          <w:szCs w:val="20"/>
          <w:lang w:bidi="ar-SA"/>
        </w:rPr>
        <w:t xml:space="preserve"> will not be tolerated for the sake of completing a job.</w:t>
      </w:r>
    </w:p>
    <w:p w:rsidRPr="0044040D" w:rsidR="0044040D" w:rsidP="0044040D" w:rsidRDefault="0044040D" w14:paraId="1E74EA51" w14:textId="77777777">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4040D">
        <w:rPr>
          <w:rFonts w:eastAsia="Times New Roman" w:cstheme="minorHAnsi"/>
          <w:color w:val="303030"/>
          <w:sz w:val="20"/>
          <w:szCs w:val="20"/>
          <w:lang w:bidi="ar-SA"/>
        </w:rPr>
        <w:t>When safety issues are raised in your business, they must be addressed and acted upon appropriately.  Courts will examine how a business handled a specific safety situation that may have given rise to an employee's injury or death, as well as how the business handles safety issues in general. </w:t>
      </w:r>
    </w:p>
    <w:p w:rsidR="0044040D" w:rsidP="6C802ED3" w:rsidRDefault="0044040D" w14:paraId="73394B14" w14:textId="185EA116">
      <w:pPr>
        <w:shd w:val="clear" w:color="auto" w:fill="FFFFFF" w:themeFill="background1"/>
        <w:spacing w:line="420" w:lineRule="atLeast"/>
        <w:rPr>
          <w:rFonts w:eastAsia="Times New Roman" w:cs="Calibri" w:cstheme="minorAscii"/>
          <w:color w:val="303030"/>
          <w:sz w:val="20"/>
          <w:szCs w:val="20"/>
          <w:lang w:bidi="ar-SA"/>
        </w:rPr>
      </w:pPr>
      <w:r w:rsidRPr="6C802ED3" w:rsidR="0044040D">
        <w:rPr>
          <w:rFonts w:eastAsia="Times New Roman" w:cs="Calibri" w:cstheme="minorAscii"/>
          <w:color w:val="303030"/>
          <w:sz w:val="20"/>
          <w:szCs w:val="20"/>
          <w:lang w:bidi="ar-SA"/>
        </w:rPr>
        <w:t xml:space="preserve">If you have any questions pertaining to your </w:t>
      </w:r>
      <w:bookmarkStart w:name="_Int_VTD77WQY" w:id="822521928"/>
      <w:r w:rsidRPr="6C802ED3" w:rsidR="0044040D">
        <w:rPr>
          <w:rFonts w:eastAsia="Times New Roman" w:cs="Calibri" w:cstheme="minorAscii"/>
          <w:color w:val="303030"/>
          <w:sz w:val="20"/>
          <w:szCs w:val="20"/>
          <w:lang w:bidi="ar-SA"/>
        </w:rPr>
        <w:t>workers</w:t>
      </w:r>
      <w:r w:rsidRPr="6C802ED3" w:rsidR="48B01D3D">
        <w:rPr>
          <w:rFonts w:eastAsia="Times New Roman" w:cs="Calibri" w:cstheme="minorAscii"/>
          <w:color w:val="303030"/>
          <w:sz w:val="20"/>
          <w:szCs w:val="20"/>
          <w:lang w:bidi="ar-SA"/>
        </w:rPr>
        <w:t>'</w:t>
      </w:r>
      <w:bookmarkEnd w:id="822521928"/>
      <w:r w:rsidRPr="6C802ED3" w:rsidR="0044040D">
        <w:rPr>
          <w:rFonts w:eastAsia="Times New Roman" w:cs="Calibri" w:cstheme="minorAscii"/>
          <w:color w:val="303030"/>
          <w:sz w:val="20"/>
          <w:szCs w:val="20"/>
          <w:lang w:bidi="ar-SA"/>
        </w:rPr>
        <w:t xml:space="preserve"> compensation or safety program(s) </w:t>
      </w:r>
      <w:r w:rsidRPr="6C802ED3" w:rsidR="0044040D">
        <w:rPr>
          <w:rFonts w:eastAsia="Times New Roman" w:cs="Calibri" w:cstheme="minorAscii"/>
          <w:color w:val="303030"/>
          <w:sz w:val="20"/>
          <w:szCs w:val="20"/>
          <w:lang w:bidi="ar-SA"/>
        </w:rPr>
        <w:t>call Catapult’s Advice Team</w:t>
      </w:r>
      <w:r w:rsidRPr="6C802ED3" w:rsidR="0044040D">
        <w:rPr>
          <w:rFonts w:eastAsia="Times New Roman" w:cs="Calibri" w:cstheme="minorAscii"/>
          <w:color w:val="303030"/>
          <w:sz w:val="20"/>
          <w:szCs w:val="20"/>
          <w:lang w:bidi="ar-SA"/>
        </w:rPr>
        <w:t xml:space="preserve">.  </w:t>
      </w:r>
      <w:r w:rsidRPr="6C802ED3" w:rsidR="0044040D">
        <w:rPr>
          <w:rFonts w:eastAsia="Times New Roman" w:cs="Calibri" w:cstheme="minorAscii"/>
          <w:color w:val="303030"/>
          <w:sz w:val="20"/>
          <w:szCs w:val="20"/>
          <w:lang w:bidi="ar-SA"/>
        </w:rPr>
        <w:t>To review a detailed article published about this North Carolina Supreme Court decision, go</w:t>
      </w:r>
      <w:r w:rsidRPr="6C802ED3" w:rsidR="0044040D">
        <w:rPr>
          <w:rFonts w:eastAsia="Times New Roman" w:cs="Calibri" w:cstheme="minorAscii"/>
          <w:color w:val="303030"/>
          <w:sz w:val="20"/>
          <w:szCs w:val="20"/>
          <w:lang w:bidi="ar-SA"/>
        </w:rPr>
        <w:t xml:space="preserve"> to:</w:t>
      </w:r>
      <w:r w:rsidRPr="6C802ED3" w:rsidR="0044040D">
        <w:rPr>
          <w:rFonts w:eastAsia="Times New Roman" w:cs="Calibri" w:cstheme="minorAscii"/>
          <w:color w:val="303030"/>
          <w:sz w:val="20"/>
          <w:szCs w:val="20"/>
          <w:lang w:bidi="ar-SA"/>
        </w:rPr>
        <w:t xml:space="preserve"> </w:t>
      </w:r>
      <w:hyperlink r:id="Rc98ce85b8dd14fdd">
        <w:r w:rsidRPr="6C802ED3" w:rsidR="0044040D">
          <w:rPr>
            <w:rStyle w:val="Hyperlink"/>
            <w:rFonts w:eastAsia="Times New Roman" w:cs="Calibri" w:cstheme="minorAscii"/>
            <w:sz w:val="20"/>
            <w:szCs w:val="20"/>
            <w:lang w:bidi="ar-SA"/>
          </w:rPr>
          <w:t>http://scholarship.law.campbell.edu/cgi/viewcontent.cgi?article=1235&amp;context=clr</w:t>
        </w:r>
      </w:hyperlink>
      <w:r w:rsidRPr="6C802ED3" w:rsidR="0044040D">
        <w:rPr>
          <w:rFonts w:eastAsia="Times New Roman" w:cs="Calibri" w:cstheme="minorAscii"/>
          <w:color w:val="303030"/>
          <w:sz w:val="20"/>
          <w:szCs w:val="20"/>
          <w:lang w:bidi="ar-SA"/>
        </w:rPr>
        <w:t>.</w:t>
      </w:r>
    </w:p>
    <w:p w:rsidRPr="00933510" w:rsidR="0044040D" w:rsidP="006E6661" w:rsidRDefault="0044040D" w14:paraId="74522FB9" w14:textId="6ECB1DC5">
      <w:pPr>
        <w:shd w:val="clear" w:color="auto" w:fill="FFFFFF"/>
        <w:spacing w:line="420" w:lineRule="atLeast"/>
        <w:rPr>
          <w:rFonts w:cs="Times New Roman (Body CS)"/>
          <w:color w:val="666666"/>
          <w:spacing w:val="20"/>
          <w:kern w:val="22"/>
          <w:sz w:val="20"/>
          <w:szCs w:val="20"/>
        </w:rPr>
      </w:pPr>
      <w:r>
        <w:rPr>
          <w:rFonts w:eastAsia="Times New Roman" w:cstheme="minorHAnsi"/>
          <w:color w:val="303030"/>
          <w:sz w:val="20"/>
          <w:szCs w:val="20"/>
          <w:lang w:bidi="ar-SA"/>
        </w:rPr>
        <w:t>Written by a Catapult Advisor</w:t>
      </w:r>
    </w:p>
    <w:sectPr w:rsidRPr="00933510" w:rsidR="0044040D" w:rsidSect="00F72353">
      <w:headerReference w:type="even" r:id="rId11"/>
      <w:headerReference w:type="default" r:id="rId12"/>
      <w:footerReference w:type="default" r:id="rId13"/>
      <w:headerReference w:type="first" r:id="rId1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036" w:rsidRDefault="00FE1036" w14:paraId="3555067B" w14:textId="77777777">
      <w:r>
        <w:separator/>
      </w:r>
    </w:p>
  </w:endnote>
  <w:endnote w:type="continuationSeparator" w:id="0">
    <w:p w:rsidR="00FE1036" w:rsidRDefault="00FE1036" w14:paraId="357291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E0299" w:rsidP="007945F7" w:rsidRDefault="00BE0299" w14:paraId="6BD89A57" w14:textId="31FAD484">
    <w:pPr>
      <w:pStyle w:val="Footer"/>
      <w:jc w:val="right"/>
      <w:rPr>
        <w:rFonts w:ascii="Calibri" w:hAnsi="Calibri" w:cs="Calibri"/>
        <w:color w:val="517891"/>
        <w:sz w:val="16"/>
        <w:szCs w:val="16"/>
        <w:lang w:bidi="ar-SA"/>
      </w:rPr>
    </w:pPr>
  </w:p>
  <w:p w:rsidRPr="009776EF" w:rsidR="006E6661" w:rsidP="007945F7" w:rsidRDefault="00AE5D3D" w14:paraId="733FEAD6" w14:textId="32E5B919">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o:spid="_x0000_s1026" strokecolor="#4472c4 [3204]" strokeweight=".5pt" from="0,0" to="541.7pt,0" w14:anchorId="677FA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v:stroke joinstyle="miter"/>
              <w10:wrap type="square" anchorx="margin" anchory="margin"/>
            </v:line>
          </w:pict>
        </mc:Fallback>
      </mc:AlternateContent>
    </w:r>
    <w:r w:rsidRPr="009776EF" w:rsidR="002137AC">
      <w:rPr>
        <w:rFonts w:ascii="Calibri" w:hAnsi="Calibri" w:cs="Calibri"/>
        <w:color w:val="517891"/>
        <w:sz w:val="16"/>
        <w:szCs w:val="16"/>
        <w:lang w:bidi="ar-SA"/>
      </w:rPr>
      <w:t>(866) 440-</w:t>
    </w:r>
    <w:proofErr w:type="gramStart"/>
    <w:r w:rsidRPr="009776EF" w:rsidR="002137AC">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Pr="009776EF" w:rsidR="002137AC">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Pr="009776EF" w:rsidR="002137AC">
      <w:rPr>
        <w:rFonts w:ascii="Calibri" w:hAnsi="Calibri" w:cs="Calibri"/>
        <w:color w:val="FF3D00"/>
        <w:sz w:val="16"/>
        <w:szCs w:val="16"/>
        <w:lang w:bidi="ar-SA"/>
      </w:rPr>
      <w:t xml:space="preserve"> </w:t>
    </w:r>
    <w:r w:rsidRPr="009776EF" w:rsidR="002137AC">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036" w:rsidRDefault="00FE1036" w14:paraId="2C4E6546" w14:textId="77777777">
      <w:r>
        <w:separator/>
      </w:r>
    </w:p>
  </w:footnote>
  <w:footnote w:type="continuationSeparator" w:id="0">
    <w:p w:rsidR="00FE1036" w:rsidRDefault="00FE1036" w14:paraId="6F212AA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661" w:rsidRDefault="006E6661" w14:paraId="6A5BF818" w14:textId="77777777">
    <w:pPr>
      <w:pStyle w:val="Header"/>
    </w:pPr>
    <w:r>
      <w:rPr>
        <w:noProof/>
      </w:rPr>
      <w:pict w14:anchorId="431A9A5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38311"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alt="" o:spid="_x0000_s2050" o:allowincell="f" type="#_x0000_t75">
          <v:imagedata o:title="" r:id="rId1"/>
          <o:lock v:ext="edit" grouping="t" rotation="t" cropping="t" vertici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B2AE3" w:rsidP="00A71264" w:rsidRDefault="003B2AE3" w14:paraId="1C597400" w14:textId="00034C83">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AE3" w:rsidP="00A71264" w:rsidRDefault="003B2AE3" w14:paraId="2EF6BDE7" w14:textId="199AE48E">
    <w:pPr>
      <w:pStyle w:val="Header"/>
      <w:jc w:val="right"/>
    </w:pPr>
  </w:p>
  <w:p w:rsidRPr="003B2AE3" w:rsidR="003B2AE3" w:rsidP="003B2AE3" w:rsidRDefault="00F72353" w14:paraId="32FCD662" w14:textId="2A77B6AD">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7891" strokeweight=".5pt" from="12.75pt,7.75pt" to="533.45pt,7.75pt" w14:anchorId="7A640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17891" strokeweight=".5pt" from="30.3pt,10.1pt" to="533.4pt,10.1pt" w14:anchorId="5857B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7891" strokeweight=".5pt" from="50.85pt,4.85pt" to="533.45pt,5.45pt" w14:anchorId="32394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v:stroke joinstyle="miter"/>
            </v:line>
          </w:pict>
        </mc:Fallback>
      </mc:AlternateContent>
    </w:r>
  </w:p>
  <w:p w:rsidRPr="00C25833" w:rsidR="006E6661" w:rsidP="003B2AE3" w:rsidRDefault="003B2AE3" w14:paraId="546EBDED" w14:textId="05335232">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661" w:rsidRDefault="006E6661" w14:paraId="6F12508E" w14:textId="77777777">
    <w:pPr>
      <w:pStyle w:val="Header"/>
    </w:pPr>
    <w:r>
      <w:rPr>
        <w:noProof/>
      </w:rPr>
      <w:pict w14:anchorId="1B70588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38310"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alt="" o:spid="_x0000_s2049" o:allowincell="f" type="#_x0000_t75">
          <v:imagedata o:title="" r:id="rId1"/>
          <o:lock v:ext="edit" grouping="t" rotation="t" cropping="t" verticies="t"/>
          <w10:wrap anchorx="margin" anchory="margin"/>
        </v:shape>
      </w:pict>
    </w:r>
  </w:p>
</w:hdr>
</file>

<file path=word/intelligence2.xml><?xml version="1.0" encoding="utf-8"?>
<int2:intelligence xmlns:int2="http://schemas.microsoft.com/office/intelligence/2020/intelligence">
  <int2:observations>
    <int2:bookmark int2:bookmarkName="_Int_pW5RgRqx" int2:invalidationBookmarkName="" int2:hashCode="Q3Sq7iR/sjfObJ" int2:id="1q505CZC">
      <int2:state int2:type="AugLoop_Text_Critique" int2:value="Rejected"/>
    </int2:bookmark>
    <int2:bookmark int2:bookmarkName="_Int_ql8CGZ1k" int2:invalidationBookmarkName="" int2:hashCode="FKUQzuaP0Fwv1E" int2:id="Cx46LepR">
      <int2:state int2:type="AugLoop_Text_Critique" int2:value="Rejected"/>
    </int2:bookmark>
    <int2:bookmark int2:bookmarkName="_Int_VTD77WQY" int2:invalidationBookmarkName="" int2:hashCode="904JAxoeINeHdn" int2:id="1F2kfF7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0B21363"/>
    <w:multiLevelType w:val="multilevel"/>
    <w:tmpl w:val="020494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hint="default" w:ascii="Symbol" w:hAnsi="Symbol"/>
        <w:sz w:val="20"/>
      </w:rPr>
    </w:lvl>
    <w:lvl w:ilvl="1">
      <w:start w:val="1"/>
      <w:numFmt w:val="bullet"/>
      <w:lvlText w:val=""/>
      <w:lvlJc w:val="left"/>
      <w:pPr>
        <w:tabs>
          <w:tab w:val="num" w:pos="3240"/>
        </w:tabs>
        <w:ind w:left="3240" w:hanging="360"/>
      </w:pPr>
      <w:rPr>
        <w:rFonts w:hint="default" w:ascii="Symbol" w:hAnsi="Symbol"/>
        <w:sz w:val="20"/>
      </w:rPr>
    </w:lvl>
    <w:lvl w:ilvl="2" w:tentative="1">
      <w:start w:val="1"/>
      <w:numFmt w:val="bullet"/>
      <w:lvlText w:val=""/>
      <w:lvlJc w:val="left"/>
      <w:pPr>
        <w:tabs>
          <w:tab w:val="num" w:pos="3960"/>
        </w:tabs>
        <w:ind w:left="3960" w:hanging="360"/>
      </w:pPr>
      <w:rPr>
        <w:rFonts w:hint="default" w:ascii="Symbol" w:hAnsi="Symbol"/>
        <w:sz w:val="20"/>
      </w:rPr>
    </w:lvl>
    <w:lvl w:ilvl="3" w:tentative="1">
      <w:start w:val="1"/>
      <w:numFmt w:val="bullet"/>
      <w:lvlText w:val=""/>
      <w:lvlJc w:val="left"/>
      <w:pPr>
        <w:tabs>
          <w:tab w:val="num" w:pos="4680"/>
        </w:tabs>
        <w:ind w:left="4680" w:hanging="360"/>
      </w:pPr>
      <w:rPr>
        <w:rFonts w:hint="default" w:ascii="Symbol" w:hAnsi="Symbol"/>
        <w:sz w:val="20"/>
      </w:rPr>
    </w:lvl>
    <w:lvl w:ilvl="4" w:tentative="1">
      <w:start w:val="1"/>
      <w:numFmt w:val="bullet"/>
      <w:lvlText w:val=""/>
      <w:lvlJc w:val="left"/>
      <w:pPr>
        <w:tabs>
          <w:tab w:val="num" w:pos="5400"/>
        </w:tabs>
        <w:ind w:left="5400" w:hanging="360"/>
      </w:pPr>
      <w:rPr>
        <w:rFonts w:hint="default" w:ascii="Symbol" w:hAnsi="Symbol"/>
        <w:sz w:val="20"/>
      </w:rPr>
    </w:lvl>
    <w:lvl w:ilvl="5" w:tentative="1">
      <w:start w:val="1"/>
      <w:numFmt w:val="bullet"/>
      <w:lvlText w:val=""/>
      <w:lvlJc w:val="left"/>
      <w:pPr>
        <w:tabs>
          <w:tab w:val="num" w:pos="6120"/>
        </w:tabs>
        <w:ind w:left="6120" w:hanging="360"/>
      </w:pPr>
      <w:rPr>
        <w:rFonts w:hint="default" w:ascii="Symbol" w:hAnsi="Symbol"/>
        <w:sz w:val="20"/>
      </w:rPr>
    </w:lvl>
    <w:lvl w:ilvl="6" w:tentative="1">
      <w:start w:val="1"/>
      <w:numFmt w:val="bullet"/>
      <w:lvlText w:val=""/>
      <w:lvlJc w:val="left"/>
      <w:pPr>
        <w:tabs>
          <w:tab w:val="num" w:pos="6840"/>
        </w:tabs>
        <w:ind w:left="6840" w:hanging="360"/>
      </w:pPr>
      <w:rPr>
        <w:rFonts w:hint="default" w:ascii="Symbol" w:hAnsi="Symbol"/>
        <w:sz w:val="20"/>
      </w:rPr>
    </w:lvl>
    <w:lvl w:ilvl="7" w:tentative="1">
      <w:start w:val="1"/>
      <w:numFmt w:val="bullet"/>
      <w:lvlText w:val=""/>
      <w:lvlJc w:val="left"/>
      <w:pPr>
        <w:tabs>
          <w:tab w:val="num" w:pos="7560"/>
        </w:tabs>
        <w:ind w:left="7560" w:hanging="360"/>
      </w:pPr>
      <w:rPr>
        <w:rFonts w:hint="default" w:ascii="Symbol" w:hAnsi="Symbol"/>
        <w:sz w:val="20"/>
      </w:rPr>
    </w:lvl>
    <w:lvl w:ilvl="8" w:tentative="1">
      <w:start w:val="1"/>
      <w:numFmt w:val="bullet"/>
      <w:lvlText w:val=""/>
      <w:lvlJc w:val="left"/>
      <w:pPr>
        <w:tabs>
          <w:tab w:val="num" w:pos="8280"/>
        </w:tabs>
        <w:ind w:left="8280" w:hanging="360"/>
      </w:pPr>
      <w:rPr>
        <w:rFonts w:hint="default" w:ascii="Symbol" w:hAnsi="Symbol"/>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559761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8439969">
    <w:abstractNumId w:val="7"/>
  </w:num>
  <w:num w:numId="3" w16cid:durableId="1570771502">
    <w:abstractNumId w:val="15"/>
  </w:num>
  <w:num w:numId="4" w16cid:durableId="1463302917">
    <w:abstractNumId w:val="19"/>
  </w:num>
  <w:num w:numId="5" w16cid:durableId="1374504629">
    <w:abstractNumId w:val="5"/>
  </w:num>
  <w:num w:numId="6" w16cid:durableId="1683893629">
    <w:abstractNumId w:val="3"/>
  </w:num>
  <w:num w:numId="7" w16cid:durableId="1043288850">
    <w:abstractNumId w:val="0"/>
  </w:num>
  <w:num w:numId="8" w16cid:durableId="217327573">
    <w:abstractNumId w:val="4"/>
  </w:num>
  <w:num w:numId="9" w16cid:durableId="556277950">
    <w:abstractNumId w:val="2"/>
  </w:num>
  <w:num w:numId="10" w16cid:durableId="1093405140">
    <w:abstractNumId w:val="10"/>
  </w:num>
  <w:num w:numId="11" w16cid:durableId="569003827">
    <w:abstractNumId w:val="16"/>
  </w:num>
  <w:num w:numId="12" w16cid:durableId="1630545608">
    <w:abstractNumId w:val="14"/>
  </w:num>
  <w:num w:numId="13" w16cid:durableId="1689988369">
    <w:abstractNumId w:val="18"/>
  </w:num>
  <w:num w:numId="14" w16cid:durableId="1340961194">
    <w:abstractNumId w:val="6"/>
  </w:num>
  <w:num w:numId="15" w16cid:durableId="1345747885">
    <w:abstractNumId w:val="20"/>
  </w:num>
  <w:num w:numId="16" w16cid:durableId="201791673">
    <w:abstractNumId w:val="17"/>
  </w:num>
  <w:num w:numId="17" w16cid:durableId="824007892">
    <w:abstractNumId w:val="11"/>
  </w:num>
  <w:num w:numId="18" w16cid:durableId="1755055683">
    <w:abstractNumId w:val="13"/>
  </w:num>
  <w:num w:numId="19" w16cid:durableId="1712462186">
    <w:abstractNumId w:val="8"/>
  </w:num>
  <w:num w:numId="20" w16cid:durableId="1367757811">
    <w:abstractNumId w:val="1"/>
  </w:num>
  <w:num w:numId="21" w16cid:durableId="1452169253">
    <w:abstractNumId w:val="12"/>
  </w:num>
  <w:num w:numId="22" w16cid:durableId="1259681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90988"/>
    <w:rsid w:val="00340F57"/>
    <w:rsid w:val="003B2AE3"/>
    <w:rsid w:val="00400629"/>
    <w:rsid w:val="0044040D"/>
    <w:rsid w:val="0044286D"/>
    <w:rsid w:val="0047661F"/>
    <w:rsid w:val="00495685"/>
    <w:rsid w:val="004C1A9B"/>
    <w:rsid w:val="004D6C9F"/>
    <w:rsid w:val="004F2E5E"/>
    <w:rsid w:val="005412B8"/>
    <w:rsid w:val="00596823"/>
    <w:rsid w:val="005A1E1F"/>
    <w:rsid w:val="005A5A17"/>
    <w:rsid w:val="005B6C2D"/>
    <w:rsid w:val="00616E4A"/>
    <w:rsid w:val="006A767E"/>
    <w:rsid w:val="006E6661"/>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75947"/>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C6134"/>
    <w:rsid w:val="00ED2BA7"/>
    <w:rsid w:val="00EF6625"/>
    <w:rsid w:val="00F72353"/>
    <w:rsid w:val="00F925D1"/>
    <w:rsid w:val="00FC396B"/>
    <w:rsid w:val="00FE1036"/>
    <w:rsid w:val="196D1192"/>
    <w:rsid w:val="40EFFE07"/>
    <w:rsid w:val="4578AC69"/>
    <w:rsid w:val="48B01D3D"/>
    <w:rsid w:val="50FEF721"/>
    <w:rsid w:val="61A5948E"/>
    <w:rsid w:val="6C80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286D"/>
    <w:rPr>
      <w:rFonts w:cs="Times New Roman"/>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styleId="HeaderChar" w:customStyle="1">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styleId="FooterChar" w:customStyle="1">
    <w:name w:val="Footer Char"/>
    <w:basedOn w:val="DefaultParagraphFont"/>
    <w:link w:val="Footer"/>
    <w:uiPriority w:val="99"/>
    <w:rsid w:val="0044286D"/>
    <w:rPr>
      <w:rFonts w:cs="Times New Roman"/>
      <w:lang w:bidi="en-US"/>
    </w:rPr>
  </w:style>
  <w:style w:type="character" w:styleId="dataformtextbox1" w:customStyle="1">
    <w:name w:val="dataformtextbox1"/>
    <w:basedOn w:val="DefaultParagraphFont"/>
    <w:rsid w:val="0044286D"/>
    <w:rPr>
      <w:rFonts w:hint="default" w:ascii="Verdana" w:hAnsi="Verdana"/>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styleId="PlainTextChar" w:customStyle="1">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hAnsi="Times New Roman" w:eastAsia="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93552104">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yperlink" Target="http://scholarship.law.campbell.edu/cgi/viewcontent.cgi?article=1235&amp;context=clr" TargetMode="External" Id="Rc98ce85b8dd14fdd" /><Relationship Type="http://schemas.microsoft.com/office/2020/10/relationships/intelligence" Target="intelligence2.xml" Id="R3aa6105435ba445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998113-6dff-484f-9e94-9ccec4e2ee8a">
      <Terms xmlns="http://schemas.microsoft.com/office/infopath/2007/PartnerControls"/>
    </lcf76f155ced4ddcb4097134ff3c332f>
    <TaxCatchAll xmlns="3dc120f2-4f61-4d80-85bf-2107ad9888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5" ma:contentTypeDescription="Create a new document." ma:contentTypeScope="" ma:versionID="3790a650b3670a00bf24194d89e9fdb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2db2770f7b56529614341d960f9fbe5"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2aa566-0a7e-4294-81db-b2a6b2268980}" ma:internalName="TaxCatchAll" ma:showField="CatchAllData" ma:web="3dc120f2-4f61-4d80-85bf-2107ad988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 ds:uri="b0998113-6dff-484f-9e94-9ccec4e2ee8a"/>
    <ds:schemaRef ds:uri="3dc120f2-4f61-4d80-85bf-2107ad98886c"/>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A4403293-CE96-4AA6-A69F-C7A70FCD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Patricia Staino</dc:creator>
  <keywords/>
  <dc:description/>
  <lastModifiedBy>Jane O'Hara</lastModifiedBy>
  <revision>5</revision>
  <dcterms:created xsi:type="dcterms:W3CDTF">2021-05-06T15:54:00.0000000Z</dcterms:created>
  <dcterms:modified xsi:type="dcterms:W3CDTF">2023-08-11T21:17:57.0151073Z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y fmtid="{D5CDD505-2E9C-101B-9397-08002B2CF9AE}" pid="3" name="MediaServiceImageTags">
    <vt:lpwstr/>
  </property>
</Properties>
</file>