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2B5C" w14:textId="57F46ED6" w:rsidR="000B3096" w:rsidRDefault="00BE5A98" w:rsidP="00D07A79">
      <w:pPr>
        <w:rPr>
          <w:b/>
          <w:bCs/>
          <w:color w:val="440056"/>
        </w:rPr>
      </w:pPr>
      <w:r>
        <w:rPr>
          <w:b/>
          <w:bCs/>
          <w:color w:val="440056"/>
        </w:rPr>
        <w:t>Tuition Reimbursement Agreement Guide</w:t>
      </w:r>
    </w:p>
    <w:p w14:paraId="14E7CE4E" w14:textId="77777777" w:rsidR="00044640" w:rsidRDefault="00044640" w:rsidP="00D07A79">
      <w:pPr>
        <w:rPr>
          <w:rFonts w:cs="Times New Roman (Body CS)"/>
          <w:color w:val="666666"/>
          <w:spacing w:val="20"/>
          <w:kern w:val="22"/>
          <w:sz w:val="20"/>
          <w:szCs w:val="20"/>
        </w:rPr>
      </w:pPr>
    </w:p>
    <w:p w14:paraId="001E2C8C" w14:textId="77777777" w:rsidR="00BE5A98" w:rsidRPr="00BE5A98" w:rsidRDefault="00BE5A98" w:rsidP="00BE5A98">
      <w:pPr>
        <w:rPr>
          <w:rFonts w:cs="Times New Roman (Body CS)"/>
          <w:b/>
          <w:bCs/>
          <w:color w:val="666666"/>
          <w:spacing w:val="20"/>
          <w:kern w:val="22"/>
          <w:sz w:val="20"/>
          <w:szCs w:val="20"/>
        </w:rPr>
      </w:pPr>
      <w:r w:rsidRPr="00BE5A98">
        <w:rPr>
          <w:rFonts w:cs="Times New Roman (Body CS)"/>
          <w:b/>
          <w:bCs/>
          <w:color w:val="666666"/>
          <w:spacing w:val="20"/>
          <w:kern w:val="22"/>
          <w:sz w:val="20"/>
          <w:szCs w:val="20"/>
        </w:rPr>
        <w:t>Overview</w:t>
      </w:r>
    </w:p>
    <w:p w14:paraId="494DE809" w14:textId="77777777" w:rsidR="00ED6C44" w:rsidRDefault="00ED6C44" w:rsidP="00BE5A98">
      <w:pPr>
        <w:rPr>
          <w:rFonts w:cs="Times New Roman (Body CS)"/>
          <w:color w:val="666666"/>
          <w:spacing w:val="20"/>
          <w:kern w:val="22"/>
          <w:sz w:val="20"/>
          <w:szCs w:val="20"/>
        </w:rPr>
      </w:pPr>
    </w:p>
    <w:p w14:paraId="209FAAC9" w14:textId="5F8D3135" w:rsidR="00BE5A98" w:rsidRDefault="00BE5A98" w:rsidP="00BE5A98">
      <w:pPr>
        <w:rPr>
          <w:color w:val="666666"/>
          <w:sz w:val="20"/>
          <w:szCs w:val="20"/>
        </w:rPr>
      </w:pPr>
      <w:r w:rsidRPr="00BE5A98">
        <w:rPr>
          <w:color w:val="666666"/>
          <w:sz w:val="20"/>
          <w:szCs w:val="20"/>
        </w:rPr>
        <w:t xml:space="preserve">Many companies offer tuition assistance for employees who wish to continue their education and advance their skills. This type of tuition reimbursement provides benefits for both employers and employees. Employees get the skills they need to qualify for more lucrative positions and employers get a more </w:t>
      </w:r>
      <w:proofErr w:type="gramStart"/>
      <w:r w:rsidRPr="00BE5A98">
        <w:rPr>
          <w:color w:val="666666"/>
          <w:sz w:val="20"/>
          <w:szCs w:val="20"/>
        </w:rPr>
        <w:t>highly-educated</w:t>
      </w:r>
      <w:proofErr w:type="gramEnd"/>
      <w:r w:rsidRPr="00BE5A98">
        <w:rPr>
          <w:color w:val="666666"/>
          <w:sz w:val="20"/>
          <w:szCs w:val="20"/>
        </w:rPr>
        <w:t xml:space="preserve"> and capable workforce.</w:t>
      </w:r>
    </w:p>
    <w:p w14:paraId="46A5AEB9" w14:textId="5D2CBB55" w:rsidR="00B96F08" w:rsidRDefault="00B96F08" w:rsidP="00BE5A98">
      <w:pPr>
        <w:rPr>
          <w:color w:val="666666"/>
          <w:sz w:val="20"/>
          <w:szCs w:val="20"/>
        </w:rPr>
      </w:pPr>
    </w:p>
    <w:p w14:paraId="3C97D5C2" w14:textId="77777777" w:rsidR="00640ABE" w:rsidRDefault="00B96F08" w:rsidP="009167EF">
      <w:pPr>
        <w:rPr>
          <w:color w:val="666666"/>
          <w:sz w:val="20"/>
          <w:szCs w:val="20"/>
        </w:rPr>
      </w:pPr>
      <w:r>
        <w:rPr>
          <w:color w:val="666666"/>
          <w:sz w:val="20"/>
          <w:szCs w:val="20"/>
        </w:rPr>
        <w:t xml:space="preserve">These arrangements, however, are complex and can be executed in </w:t>
      </w:r>
      <w:proofErr w:type="gramStart"/>
      <w:r>
        <w:rPr>
          <w:color w:val="666666"/>
          <w:sz w:val="20"/>
          <w:szCs w:val="20"/>
        </w:rPr>
        <w:t>a number of</w:t>
      </w:r>
      <w:proofErr w:type="gramEnd"/>
      <w:r>
        <w:rPr>
          <w:color w:val="666666"/>
          <w:sz w:val="20"/>
          <w:szCs w:val="20"/>
        </w:rPr>
        <w:t xml:space="preserve"> ways</w:t>
      </w:r>
      <w:r w:rsidR="00640ABE">
        <w:rPr>
          <w:color w:val="666666"/>
          <w:sz w:val="20"/>
          <w:szCs w:val="20"/>
        </w:rPr>
        <w:t>, to include:</w:t>
      </w:r>
    </w:p>
    <w:p w14:paraId="46660A08" w14:textId="77777777" w:rsidR="00640ABE" w:rsidRDefault="00640ABE" w:rsidP="009167EF">
      <w:pPr>
        <w:rPr>
          <w:color w:val="666666"/>
          <w:sz w:val="20"/>
          <w:szCs w:val="20"/>
        </w:rPr>
      </w:pPr>
    </w:p>
    <w:p w14:paraId="25477B4B" w14:textId="2101531C" w:rsidR="009167EF" w:rsidRPr="009167EF" w:rsidRDefault="009167EF" w:rsidP="007F0286">
      <w:pPr>
        <w:rPr>
          <w:color w:val="666666"/>
          <w:sz w:val="20"/>
          <w:szCs w:val="20"/>
        </w:rPr>
      </w:pPr>
      <w:r w:rsidRPr="009167EF">
        <w:rPr>
          <w:color w:val="666666"/>
          <w:sz w:val="20"/>
          <w:szCs w:val="20"/>
        </w:rPr>
        <w:t>Section 127 program</w:t>
      </w:r>
      <w:r w:rsidR="00A70DB0">
        <w:rPr>
          <w:color w:val="666666"/>
          <w:sz w:val="20"/>
          <w:szCs w:val="20"/>
        </w:rPr>
        <w:t xml:space="preserve">: </w:t>
      </w:r>
      <w:r w:rsidR="00640ABE">
        <w:rPr>
          <w:color w:val="666666"/>
          <w:sz w:val="20"/>
          <w:szCs w:val="20"/>
        </w:rPr>
        <w:t xml:space="preserve">this requires a written plan document </w:t>
      </w:r>
      <w:r w:rsidR="00267B87">
        <w:rPr>
          <w:color w:val="666666"/>
          <w:sz w:val="20"/>
          <w:szCs w:val="20"/>
        </w:rPr>
        <w:t xml:space="preserve">(although is not considered an ERISA program) </w:t>
      </w:r>
      <w:r w:rsidR="00640ABE">
        <w:rPr>
          <w:color w:val="666666"/>
          <w:sz w:val="20"/>
          <w:szCs w:val="20"/>
        </w:rPr>
        <w:t xml:space="preserve">and permits </w:t>
      </w:r>
      <w:r w:rsidR="007F0286">
        <w:rPr>
          <w:color w:val="666666"/>
          <w:sz w:val="20"/>
          <w:szCs w:val="20"/>
        </w:rPr>
        <w:t>a certain amount of</w:t>
      </w:r>
      <w:r w:rsidR="003A4022">
        <w:rPr>
          <w:color w:val="666666"/>
          <w:sz w:val="20"/>
          <w:szCs w:val="20"/>
        </w:rPr>
        <w:t xml:space="preserve"> educational</w:t>
      </w:r>
      <w:r w:rsidR="007F0286">
        <w:rPr>
          <w:color w:val="666666"/>
          <w:sz w:val="20"/>
          <w:szCs w:val="20"/>
        </w:rPr>
        <w:t xml:space="preserve"> assistance </w:t>
      </w:r>
      <w:r w:rsidR="003A4022">
        <w:rPr>
          <w:color w:val="666666"/>
          <w:sz w:val="20"/>
          <w:szCs w:val="20"/>
        </w:rPr>
        <w:t>(for a variety of educational needs)</w:t>
      </w:r>
      <w:r w:rsidR="00A70DB0">
        <w:rPr>
          <w:color w:val="666666"/>
          <w:sz w:val="20"/>
          <w:szCs w:val="20"/>
        </w:rPr>
        <w:t xml:space="preserve"> </w:t>
      </w:r>
      <w:r w:rsidR="007F0286">
        <w:rPr>
          <w:color w:val="666666"/>
          <w:sz w:val="20"/>
          <w:szCs w:val="20"/>
        </w:rPr>
        <w:t>to be excluded from income for tax purposes. There are numerous</w:t>
      </w:r>
      <w:r w:rsidR="00A70DB0">
        <w:rPr>
          <w:color w:val="666666"/>
          <w:sz w:val="20"/>
          <w:szCs w:val="20"/>
        </w:rPr>
        <w:t xml:space="preserve"> legal </w:t>
      </w:r>
      <w:r w:rsidR="007F0286">
        <w:rPr>
          <w:color w:val="666666"/>
          <w:sz w:val="20"/>
          <w:szCs w:val="20"/>
        </w:rPr>
        <w:t>requirements around this type of program.</w:t>
      </w:r>
      <w:r w:rsidRPr="009167EF">
        <w:rPr>
          <w:color w:val="666666"/>
          <w:sz w:val="20"/>
          <w:szCs w:val="20"/>
        </w:rPr>
        <w:t xml:space="preserve"> </w:t>
      </w:r>
    </w:p>
    <w:p w14:paraId="071BE17D" w14:textId="77777777" w:rsidR="003A4022" w:rsidRDefault="003A4022" w:rsidP="009167EF">
      <w:pPr>
        <w:rPr>
          <w:color w:val="666666"/>
          <w:sz w:val="20"/>
          <w:szCs w:val="20"/>
        </w:rPr>
      </w:pPr>
    </w:p>
    <w:p w14:paraId="7ACBD2A5" w14:textId="29BCA08A" w:rsidR="00267B87" w:rsidRDefault="009167EF" w:rsidP="009167EF">
      <w:pPr>
        <w:rPr>
          <w:color w:val="666666"/>
          <w:sz w:val="20"/>
          <w:szCs w:val="20"/>
        </w:rPr>
      </w:pPr>
      <w:r w:rsidRPr="009167EF">
        <w:rPr>
          <w:color w:val="666666"/>
          <w:sz w:val="20"/>
          <w:szCs w:val="20"/>
        </w:rPr>
        <w:t>Section 132 fringe benefit program</w:t>
      </w:r>
      <w:r w:rsidR="00A70DB0">
        <w:rPr>
          <w:color w:val="666666"/>
          <w:sz w:val="20"/>
          <w:szCs w:val="20"/>
        </w:rPr>
        <w:t xml:space="preserve">: </w:t>
      </w:r>
      <w:r w:rsidR="003A4022">
        <w:rPr>
          <w:color w:val="666666"/>
          <w:sz w:val="20"/>
          <w:szCs w:val="20"/>
        </w:rPr>
        <w:t>U</w:t>
      </w:r>
      <w:r w:rsidRPr="009167EF">
        <w:rPr>
          <w:color w:val="666666"/>
          <w:sz w:val="20"/>
          <w:szCs w:val="20"/>
        </w:rPr>
        <w:t>nder 26 U.S.C. §132</w:t>
      </w:r>
      <w:r w:rsidR="00B327C7">
        <w:rPr>
          <w:color w:val="666666"/>
          <w:sz w:val="20"/>
          <w:szCs w:val="20"/>
        </w:rPr>
        <w:t xml:space="preserve">, employees can deduct certain educational expenses on their own for employer provided benefits. This type of </w:t>
      </w:r>
      <w:r w:rsidR="00267B87">
        <w:rPr>
          <w:color w:val="666666"/>
          <w:sz w:val="20"/>
          <w:szCs w:val="20"/>
        </w:rPr>
        <w:t xml:space="preserve">non-ERISA </w:t>
      </w:r>
      <w:r w:rsidR="00B327C7">
        <w:rPr>
          <w:color w:val="666666"/>
          <w:sz w:val="20"/>
          <w:szCs w:val="20"/>
        </w:rPr>
        <w:t>program is less difficult to set-up than a Section 127 but</w:t>
      </w:r>
      <w:r w:rsidR="00A70DB0">
        <w:rPr>
          <w:color w:val="666666"/>
          <w:sz w:val="20"/>
          <w:szCs w:val="20"/>
        </w:rPr>
        <w:t xml:space="preserve"> more limited</w:t>
      </w:r>
      <w:r w:rsidR="00267B87">
        <w:rPr>
          <w:color w:val="666666"/>
          <w:sz w:val="20"/>
          <w:szCs w:val="20"/>
        </w:rPr>
        <w:t xml:space="preserve"> – the expenses must be directly related to current job responsibilities.</w:t>
      </w:r>
    </w:p>
    <w:p w14:paraId="1FF9B948" w14:textId="77777777" w:rsidR="00267B87" w:rsidRDefault="00267B87" w:rsidP="009167EF">
      <w:pPr>
        <w:rPr>
          <w:color w:val="666666"/>
          <w:sz w:val="20"/>
          <w:szCs w:val="20"/>
        </w:rPr>
      </w:pPr>
    </w:p>
    <w:p w14:paraId="149C1AC3" w14:textId="74CFFAD7" w:rsidR="009167EF" w:rsidRPr="009167EF" w:rsidRDefault="009167EF" w:rsidP="009167EF">
      <w:pPr>
        <w:rPr>
          <w:color w:val="666666"/>
          <w:sz w:val="20"/>
          <w:szCs w:val="20"/>
        </w:rPr>
      </w:pPr>
      <w:r w:rsidRPr="009167EF">
        <w:rPr>
          <w:color w:val="666666"/>
          <w:sz w:val="20"/>
          <w:szCs w:val="20"/>
        </w:rPr>
        <w:t>Section 117(d) fringe benefit program</w:t>
      </w:r>
      <w:r w:rsidR="00C50FB1">
        <w:rPr>
          <w:color w:val="666666"/>
          <w:sz w:val="20"/>
          <w:szCs w:val="20"/>
        </w:rPr>
        <w:t xml:space="preserve">: This program is </w:t>
      </w:r>
      <w:proofErr w:type="gramStart"/>
      <w:r w:rsidR="00C50FB1">
        <w:rPr>
          <w:color w:val="666666"/>
          <w:sz w:val="20"/>
          <w:szCs w:val="20"/>
        </w:rPr>
        <w:t>rare, but</w:t>
      </w:r>
      <w:proofErr w:type="gramEnd"/>
      <w:r w:rsidR="00C50FB1">
        <w:rPr>
          <w:color w:val="666666"/>
          <w:sz w:val="20"/>
          <w:szCs w:val="20"/>
        </w:rPr>
        <w:t xml:space="preserve"> can be used for spouse and dependent children.</w:t>
      </w:r>
    </w:p>
    <w:p w14:paraId="40697AAB" w14:textId="77777777" w:rsidR="00C50FB1" w:rsidRDefault="00C50FB1" w:rsidP="009167EF">
      <w:pPr>
        <w:rPr>
          <w:color w:val="666666"/>
          <w:sz w:val="20"/>
          <w:szCs w:val="20"/>
        </w:rPr>
      </w:pPr>
    </w:p>
    <w:p w14:paraId="7C943AF4" w14:textId="55C3ACEF" w:rsidR="00FC4799" w:rsidRDefault="00C50FB1" w:rsidP="009167EF">
      <w:pPr>
        <w:rPr>
          <w:color w:val="666666"/>
          <w:sz w:val="20"/>
          <w:szCs w:val="20"/>
        </w:rPr>
      </w:pPr>
      <w:r>
        <w:rPr>
          <w:color w:val="666666"/>
          <w:sz w:val="20"/>
          <w:szCs w:val="20"/>
        </w:rPr>
        <w:t>S</w:t>
      </w:r>
      <w:r w:rsidR="009167EF" w:rsidRPr="009167EF">
        <w:rPr>
          <w:color w:val="666666"/>
          <w:sz w:val="20"/>
          <w:szCs w:val="20"/>
        </w:rPr>
        <w:t>ection 501(c)(3) foundation</w:t>
      </w:r>
      <w:r w:rsidR="00194E78">
        <w:rPr>
          <w:color w:val="666666"/>
          <w:sz w:val="20"/>
          <w:szCs w:val="20"/>
        </w:rPr>
        <w:t xml:space="preserve">: </w:t>
      </w:r>
      <w:r w:rsidR="00FC4799">
        <w:rPr>
          <w:color w:val="666666"/>
          <w:sz w:val="20"/>
          <w:szCs w:val="20"/>
        </w:rPr>
        <w:t>This is a significant commitment but allows employers to establish a tax-exempt organization to provide educational assistance to a wide range of people.</w:t>
      </w:r>
    </w:p>
    <w:p w14:paraId="5A04A9C5" w14:textId="77777777" w:rsidR="00FC4799" w:rsidRDefault="00FC4799" w:rsidP="009167EF">
      <w:pPr>
        <w:rPr>
          <w:color w:val="666666"/>
          <w:sz w:val="20"/>
          <w:szCs w:val="20"/>
        </w:rPr>
      </w:pPr>
    </w:p>
    <w:p w14:paraId="2F990A39" w14:textId="4ECE356C" w:rsidR="009167EF" w:rsidRDefault="009167EF" w:rsidP="009167EF">
      <w:pPr>
        <w:rPr>
          <w:color w:val="666666"/>
          <w:sz w:val="20"/>
          <w:szCs w:val="20"/>
        </w:rPr>
      </w:pPr>
      <w:r w:rsidRPr="009167EF">
        <w:rPr>
          <w:color w:val="666666"/>
          <w:sz w:val="20"/>
          <w:szCs w:val="20"/>
        </w:rPr>
        <w:t>Lifelong learning account</w:t>
      </w:r>
      <w:r w:rsidR="00194E78">
        <w:rPr>
          <w:color w:val="666666"/>
          <w:sz w:val="20"/>
          <w:szCs w:val="20"/>
        </w:rPr>
        <w:t xml:space="preserve">: </w:t>
      </w:r>
      <w:proofErr w:type="gramStart"/>
      <w:r w:rsidR="00194E78">
        <w:rPr>
          <w:color w:val="666666"/>
          <w:sz w:val="20"/>
          <w:szCs w:val="20"/>
        </w:rPr>
        <w:t>Generally</w:t>
      </w:r>
      <w:proofErr w:type="gramEnd"/>
      <w:r w:rsidR="00194E78">
        <w:rPr>
          <w:color w:val="666666"/>
          <w:sz w:val="20"/>
          <w:szCs w:val="20"/>
        </w:rPr>
        <w:t xml:space="preserve"> requires review of state law and entails employer and employee contributions.</w:t>
      </w:r>
    </w:p>
    <w:p w14:paraId="57E45FF4" w14:textId="6F41E6CF" w:rsidR="00194E78" w:rsidRDefault="00194E78" w:rsidP="009167EF">
      <w:pPr>
        <w:rPr>
          <w:color w:val="666666"/>
          <w:sz w:val="20"/>
          <w:szCs w:val="20"/>
        </w:rPr>
      </w:pPr>
    </w:p>
    <w:p w14:paraId="4E4084DD" w14:textId="2F6312B3" w:rsidR="00194E78" w:rsidRPr="009167EF" w:rsidRDefault="00194E78" w:rsidP="009167EF">
      <w:pPr>
        <w:rPr>
          <w:color w:val="666666"/>
          <w:sz w:val="20"/>
          <w:szCs w:val="20"/>
        </w:rPr>
      </w:pPr>
      <w:r>
        <w:rPr>
          <w:color w:val="666666"/>
          <w:sz w:val="20"/>
          <w:szCs w:val="20"/>
        </w:rPr>
        <w:t>Other than with these types of programs, such expenses would be subject to employment taxes.</w:t>
      </w:r>
    </w:p>
    <w:p w14:paraId="71BDAEDC" w14:textId="77777777" w:rsidR="009167EF" w:rsidRPr="00640ABE" w:rsidRDefault="009167EF" w:rsidP="00BE5A98">
      <w:pPr>
        <w:rPr>
          <w:color w:val="666666"/>
          <w:sz w:val="20"/>
          <w:szCs w:val="20"/>
        </w:rPr>
      </w:pPr>
    </w:p>
    <w:p w14:paraId="2867B624" w14:textId="14EA2D3A" w:rsidR="00BE5A98" w:rsidRDefault="00BE5A98" w:rsidP="00BE5A98">
      <w:pPr>
        <w:rPr>
          <w:rFonts w:cs="Times New Roman (Body CS)"/>
          <w:b/>
          <w:bCs/>
          <w:color w:val="666666"/>
          <w:spacing w:val="20"/>
          <w:kern w:val="22"/>
          <w:sz w:val="20"/>
          <w:szCs w:val="20"/>
        </w:rPr>
      </w:pPr>
      <w:r w:rsidRPr="00BE5A98">
        <w:rPr>
          <w:rFonts w:cs="Times New Roman (Body CS)"/>
          <w:b/>
          <w:bCs/>
          <w:color w:val="666666"/>
          <w:spacing w:val="20"/>
          <w:kern w:val="22"/>
          <w:sz w:val="20"/>
          <w:szCs w:val="20"/>
        </w:rPr>
        <w:t>Discussion</w:t>
      </w:r>
    </w:p>
    <w:p w14:paraId="3DFA03BD" w14:textId="77777777" w:rsidR="00ED6C44" w:rsidRPr="00BE5A98" w:rsidRDefault="00ED6C44" w:rsidP="00BE5A98">
      <w:pPr>
        <w:rPr>
          <w:rFonts w:cs="Times New Roman (Body CS)"/>
          <w:b/>
          <w:bCs/>
          <w:color w:val="666666"/>
          <w:spacing w:val="20"/>
          <w:kern w:val="22"/>
          <w:sz w:val="20"/>
          <w:szCs w:val="20"/>
        </w:rPr>
      </w:pPr>
    </w:p>
    <w:p w14:paraId="2DC35221" w14:textId="3B6E4E4A" w:rsidR="00BE5A98" w:rsidRDefault="00BE5A98" w:rsidP="00BE5A98">
      <w:pPr>
        <w:rPr>
          <w:color w:val="666666"/>
          <w:sz w:val="20"/>
          <w:szCs w:val="20"/>
        </w:rPr>
      </w:pPr>
      <w:r w:rsidRPr="00BE5A98">
        <w:rPr>
          <w:color w:val="666666"/>
          <w:sz w:val="20"/>
          <w:szCs w:val="20"/>
        </w:rPr>
        <w:t>Tuition reimbursement is a valuable employee benefit that encourages workers to continue their education while adding advanced skills to the organization’s core competencies. When offering tuition reimbursement to employees, companies may also expect increased retention rates, higher job satisfaction and better performance. However, before you a draft a tuition reimbursement agreement, consider the following for your tuition reimbursement program:</w:t>
      </w:r>
    </w:p>
    <w:p w14:paraId="11BE448D" w14:textId="77777777" w:rsidR="00ED6C44" w:rsidRPr="00BE5A98" w:rsidRDefault="00ED6C44" w:rsidP="00BE5A98">
      <w:pPr>
        <w:rPr>
          <w:color w:val="666666"/>
          <w:sz w:val="20"/>
          <w:szCs w:val="20"/>
        </w:rPr>
      </w:pPr>
    </w:p>
    <w:p w14:paraId="393287AB" w14:textId="77777777" w:rsidR="00BE5A98" w:rsidRPr="00BE5A98" w:rsidRDefault="00BE5A98" w:rsidP="00A33805">
      <w:pPr>
        <w:pStyle w:val="ListParagraph"/>
        <w:ind w:hanging="360"/>
        <w:rPr>
          <w:color w:val="666666"/>
          <w:sz w:val="20"/>
          <w:szCs w:val="20"/>
        </w:rPr>
      </w:pPr>
      <w:r w:rsidRPr="00BE5A98">
        <w:rPr>
          <w:color w:val="666666"/>
          <w:sz w:val="20"/>
          <w:szCs w:val="20"/>
        </w:rPr>
        <w:t>• which expenses you will reimburse (such as tuition only or all costs including books and other fees</w:t>
      </w:r>
      <w:proofErr w:type="gramStart"/>
      <w:r w:rsidRPr="00BE5A98">
        <w:rPr>
          <w:color w:val="666666"/>
          <w:sz w:val="20"/>
          <w:szCs w:val="20"/>
        </w:rPr>
        <w:t>);</w:t>
      </w:r>
      <w:proofErr w:type="gramEnd"/>
    </w:p>
    <w:p w14:paraId="628B7021" w14:textId="77777777" w:rsidR="00BE5A98" w:rsidRPr="00BE5A98" w:rsidRDefault="00BE5A98" w:rsidP="00A33805">
      <w:pPr>
        <w:pStyle w:val="ListParagraph"/>
        <w:ind w:hanging="360"/>
        <w:rPr>
          <w:color w:val="666666"/>
          <w:sz w:val="20"/>
          <w:szCs w:val="20"/>
        </w:rPr>
      </w:pPr>
      <w:r w:rsidRPr="00BE5A98">
        <w:rPr>
          <w:color w:val="666666"/>
          <w:sz w:val="20"/>
          <w:szCs w:val="20"/>
        </w:rPr>
        <w:t xml:space="preserve">• how much you will </w:t>
      </w:r>
      <w:proofErr w:type="gramStart"/>
      <w:r w:rsidRPr="00BE5A98">
        <w:rPr>
          <w:color w:val="666666"/>
          <w:sz w:val="20"/>
          <w:szCs w:val="20"/>
        </w:rPr>
        <w:t>reimburse;</w:t>
      </w:r>
      <w:proofErr w:type="gramEnd"/>
    </w:p>
    <w:p w14:paraId="1A5986FF" w14:textId="77777777" w:rsidR="00BE5A98" w:rsidRPr="00BE5A98" w:rsidRDefault="00BE5A98" w:rsidP="00A33805">
      <w:pPr>
        <w:pStyle w:val="ListParagraph"/>
        <w:ind w:hanging="360"/>
        <w:rPr>
          <w:color w:val="666666"/>
          <w:sz w:val="20"/>
          <w:szCs w:val="20"/>
        </w:rPr>
      </w:pPr>
      <w:r w:rsidRPr="00BE5A98">
        <w:rPr>
          <w:color w:val="666666"/>
          <w:sz w:val="20"/>
          <w:szCs w:val="20"/>
        </w:rPr>
        <w:t>• which employees are eligible (such as all employees or only full-time employees</w:t>
      </w:r>
      <w:proofErr w:type="gramStart"/>
      <w:r w:rsidRPr="00BE5A98">
        <w:rPr>
          <w:color w:val="666666"/>
          <w:sz w:val="20"/>
          <w:szCs w:val="20"/>
        </w:rPr>
        <w:t>);</w:t>
      </w:r>
      <w:proofErr w:type="gramEnd"/>
    </w:p>
    <w:p w14:paraId="779C926A" w14:textId="77777777" w:rsidR="00BE5A98" w:rsidRPr="00BE5A98" w:rsidRDefault="00BE5A98" w:rsidP="00A33805">
      <w:pPr>
        <w:pStyle w:val="ListParagraph"/>
        <w:ind w:hanging="360"/>
        <w:rPr>
          <w:color w:val="666666"/>
          <w:sz w:val="20"/>
          <w:szCs w:val="20"/>
        </w:rPr>
      </w:pPr>
      <w:r w:rsidRPr="00BE5A98">
        <w:rPr>
          <w:color w:val="666666"/>
          <w:sz w:val="20"/>
          <w:szCs w:val="20"/>
        </w:rPr>
        <w:t>• which classes you will reimburse (such as job-related classes only or not); and</w:t>
      </w:r>
    </w:p>
    <w:p w14:paraId="4CA9EC09" w14:textId="77777777" w:rsidR="00BE5A98" w:rsidRPr="00BE5A98" w:rsidRDefault="00BE5A98" w:rsidP="00A33805">
      <w:pPr>
        <w:pStyle w:val="ListParagraph"/>
        <w:ind w:hanging="360"/>
        <w:rPr>
          <w:color w:val="666666"/>
          <w:sz w:val="20"/>
          <w:szCs w:val="20"/>
        </w:rPr>
      </w:pPr>
      <w:r w:rsidRPr="00BE5A98">
        <w:rPr>
          <w:color w:val="666666"/>
          <w:sz w:val="20"/>
          <w:szCs w:val="20"/>
        </w:rPr>
        <w:t>• how you can support the employee’s learning efforts (such as telecommuting or flexible hours).</w:t>
      </w:r>
    </w:p>
    <w:p w14:paraId="217DAA4D" w14:textId="77777777" w:rsidR="00ED6C44" w:rsidRDefault="00ED6C44" w:rsidP="00BE5A98">
      <w:pPr>
        <w:rPr>
          <w:color w:val="666666"/>
          <w:sz w:val="20"/>
          <w:szCs w:val="20"/>
        </w:rPr>
      </w:pPr>
    </w:p>
    <w:p w14:paraId="2DD0F51B" w14:textId="6CFB0F55" w:rsidR="00BE5A98" w:rsidRDefault="00BE5A98" w:rsidP="00BE5A98">
      <w:pPr>
        <w:rPr>
          <w:color w:val="666666"/>
          <w:sz w:val="20"/>
          <w:szCs w:val="20"/>
        </w:rPr>
      </w:pPr>
      <w:r w:rsidRPr="00BE5A98">
        <w:rPr>
          <w:color w:val="666666"/>
          <w:sz w:val="20"/>
          <w:szCs w:val="20"/>
        </w:rPr>
        <w:t xml:space="preserve">Companies can prorate these agreements or choose not to prorate. For companies that do not prorate, the whole amount is due if the employee is terminated at any time during the </w:t>
      </w:r>
      <w:proofErr w:type="gramStart"/>
      <w:r w:rsidRPr="00BE5A98">
        <w:rPr>
          <w:color w:val="666666"/>
          <w:sz w:val="20"/>
          <w:szCs w:val="20"/>
        </w:rPr>
        <w:t>time period</w:t>
      </w:r>
      <w:proofErr w:type="gramEnd"/>
      <w:r w:rsidRPr="00BE5A98">
        <w:rPr>
          <w:color w:val="666666"/>
          <w:sz w:val="20"/>
          <w:szCs w:val="20"/>
        </w:rPr>
        <w:t xml:space="preserve"> specified in the agreement. If companies do prorate the entire agreement, the prorated period can be based on </w:t>
      </w:r>
      <w:proofErr w:type="gramStart"/>
      <w:r w:rsidRPr="00BE5A98">
        <w:rPr>
          <w:color w:val="666666"/>
          <w:sz w:val="20"/>
          <w:szCs w:val="20"/>
        </w:rPr>
        <w:t>a number of</w:t>
      </w:r>
      <w:proofErr w:type="gramEnd"/>
      <w:r w:rsidRPr="00BE5A98">
        <w:rPr>
          <w:color w:val="666666"/>
          <w:sz w:val="20"/>
          <w:szCs w:val="20"/>
        </w:rPr>
        <w:t xml:space="preserve"> days elapsed.</w:t>
      </w:r>
    </w:p>
    <w:p w14:paraId="76881507" w14:textId="77777777" w:rsidR="00ED6C44" w:rsidRPr="00BE5A98" w:rsidRDefault="00ED6C44" w:rsidP="00BE5A98">
      <w:pPr>
        <w:rPr>
          <w:color w:val="666666"/>
          <w:sz w:val="20"/>
          <w:szCs w:val="20"/>
        </w:rPr>
      </w:pPr>
    </w:p>
    <w:p w14:paraId="4457CC7F" w14:textId="5D9BB623" w:rsidR="00BE5A98" w:rsidRDefault="00BE5A98" w:rsidP="00BE5A98">
      <w:pPr>
        <w:rPr>
          <w:color w:val="666666"/>
          <w:sz w:val="20"/>
          <w:szCs w:val="20"/>
        </w:rPr>
      </w:pPr>
      <w:r w:rsidRPr="00BE5A98">
        <w:rPr>
          <w:color w:val="666666"/>
          <w:sz w:val="20"/>
          <w:szCs w:val="20"/>
        </w:rPr>
        <w:t>Moreover, although not required, you may want to consider including a provision excusing the employee from having to pay back the tuition costs if they are terminated by the company as part of a reduction in force. Alternatively, you might require repayment only when the employee voluntarily resigns or is terminated for cause as defined by the company.</w:t>
      </w:r>
    </w:p>
    <w:p w14:paraId="39A73BA6" w14:textId="77777777" w:rsidR="00ED6C44" w:rsidRPr="00BE5A98" w:rsidRDefault="00ED6C44" w:rsidP="00BE5A98">
      <w:pPr>
        <w:rPr>
          <w:color w:val="666666"/>
          <w:sz w:val="20"/>
          <w:szCs w:val="20"/>
        </w:rPr>
      </w:pPr>
    </w:p>
    <w:p w14:paraId="774D0D1C" w14:textId="5FA82E76" w:rsidR="00BE5A98" w:rsidRDefault="00BE5A98" w:rsidP="00BE5A98">
      <w:pPr>
        <w:rPr>
          <w:color w:val="666666"/>
          <w:sz w:val="20"/>
          <w:szCs w:val="20"/>
        </w:rPr>
      </w:pPr>
      <w:r w:rsidRPr="00BE5A98">
        <w:rPr>
          <w:color w:val="666666"/>
          <w:sz w:val="20"/>
          <w:szCs w:val="20"/>
        </w:rPr>
        <w:t xml:space="preserve">Employers may also want to consider including a provision regarding withholding money from the employee’s final paycheck as repayment for the tuition expenses. However, it is the US Department of Labor’s position that employers are prohibited from making any deductions that are from the “guaranteed salary” portion of an exempt employee’s wages. Therefore, any authorized </w:t>
      </w:r>
      <w:r w:rsidRPr="00BE5A98">
        <w:rPr>
          <w:color w:val="666666"/>
          <w:sz w:val="20"/>
          <w:szCs w:val="20"/>
        </w:rPr>
        <w:lastRenderedPageBreak/>
        <w:t>deductions for the tuition costs from an exempt employee’s final paycheck would have to come from wages other than the “guaranteed salary,” such as accrued but unused paid time off or commissions.</w:t>
      </w:r>
    </w:p>
    <w:p w14:paraId="520B58EE" w14:textId="77777777" w:rsidR="00ED6C44" w:rsidRPr="00BE5A98" w:rsidRDefault="00ED6C44" w:rsidP="00BE5A98">
      <w:pPr>
        <w:rPr>
          <w:color w:val="666666"/>
          <w:sz w:val="20"/>
          <w:szCs w:val="20"/>
        </w:rPr>
      </w:pPr>
    </w:p>
    <w:p w14:paraId="458CE320" w14:textId="77777777" w:rsidR="00ED6C44" w:rsidRDefault="00BE5A98" w:rsidP="00ED6C44">
      <w:pPr>
        <w:rPr>
          <w:color w:val="666666"/>
          <w:sz w:val="20"/>
          <w:szCs w:val="20"/>
        </w:rPr>
      </w:pPr>
      <w:r w:rsidRPr="00BE5A98">
        <w:rPr>
          <w:color w:val="666666"/>
          <w:sz w:val="20"/>
          <w:szCs w:val="20"/>
        </w:rPr>
        <w:t xml:space="preserve">For non-exempt employees, since the US Department of Labor views the deduction as being for the benefit of the employee, any deductions from the non-exempt employee’s final paycheck may reduce it below the minimum wage and may be made from any overtime wages. </w:t>
      </w:r>
    </w:p>
    <w:p w14:paraId="0C40729A" w14:textId="77777777" w:rsidR="00ED6C44" w:rsidRDefault="00ED6C44" w:rsidP="00ED6C44">
      <w:pPr>
        <w:rPr>
          <w:color w:val="666666"/>
          <w:sz w:val="20"/>
          <w:szCs w:val="20"/>
        </w:rPr>
      </w:pPr>
    </w:p>
    <w:p w14:paraId="3BDF1614" w14:textId="1F793193" w:rsidR="00BE5A98" w:rsidRDefault="00BE5A98" w:rsidP="00ED6C44">
      <w:pPr>
        <w:rPr>
          <w:color w:val="666666"/>
          <w:sz w:val="20"/>
          <w:szCs w:val="20"/>
        </w:rPr>
      </w:pPr>
      <w:r w:rsidRPr="00BE5A98">
        <w:rPr>
          <w:color w:val="666666"/>
          <w:sz w:val="20"/>
          <w:szCs w:val="20"/>
        </w:rPr>
        <w:t xml:space="preserve">The best practice is to have the employee sign the tuition reimbursement agreement before the education commences or tuition costs are paid </w:t>
      </w:r>
      <w:proofErr w:type="gramStart"/>
      <w:r w:rsidRPr="00BE5A98">
        <w:rPr>
          <w:color w:val="666666"/>
          <w:sz w:val="20"/>
          <w:szCs w:val="20"/>
        </w:rPr>
        <w:t>in order to</w:t>
      </w:r>
      <w:proofErr w:type="gramEnd"/>
      <w:r w:rsidRPr="00BE5A98">
        <w:rPr>
          <w:color w:val="666666"/>
          <w:sz w:val="20"/>
          <w:szCs w:val="20"/>
        </w:rPr>
        <w:t xml:space="preserve"> avoid any arguments later about valid consideration existing for the agreement.</w:t>
      </w:r>
    </w:p>
    <w:p w14:paraId="076F8DA7" w14:textId="77777777" w:rsidR="00ED6C44" w:rsidRPr="00BE5A98" w:rsidRDefault="00ED6C44" w:rsidP="00ED6C44">
      <w:pPr>
        <w:rPr>
          <w:color w:val="666666"/>
          <w:sz w:val="20"/>
          <w:szCs w:val="20"/>
        </w:rPr>
      </w:pPr>
    </w:p>
    <w:p w14:paraId="785ECA70" w14:textId="5D99EA73" w:rsidR="00BE5A98" w:rsidRDefault="00BE5A98" w:rsidP="00BE5A98">
      <w:pPr>
        <w:rPr>
          <w:color w:val="666666"/>
          <w:sz w:val="20"/>
          <w:szCs w:val="20"/>
        </w:rPr>
      </w:pPr>
      <w:r w:rsidRPr="00BE5A98">
        <w:rPr>
          <w:color w:val="666666"/>
          <w:sz w:val="20"/>
          <w:szCs w:val="20"/>
        </w:rPr>
        <w:t>Lastly, a company should have a process in place for enforcing the reimbursement agreement, which may involve a demand letter being sent to the employee and, if necessary, filing a civil lawsuit for monies owed.</w:t>
      </w:r>
    </w:p>
    <w:p w14:paraId="74C4331D" w14:textId="77777777" w:rsidR="00ED6C44" w:rsidRPr="00BE5A98" w:rsidRDefault="00ED6C44" w:rsidP="00BE5A98">
      <w:pPr>
        <w:rPr>
          <w:color w:val="666666"/>
          <w:sz w:val="20"/>
          <w:szCs w:val="20"/>
        </w:rPr>
      </w:pPr>
    </w:p>
    <w:p w14:paraId="67892E56" w14:textId="77777777" w:rsidR="00BE5A98" w:rsidRPr="00BE5A98" w:rsidRDefault="00BE5A98" w:rsidP="00BE5A98">
      <w:pPr>
        <w:rPr>
          <w:rFonts w:cs="Times New Roman (Body CS)"/>
          <w:b/>
          <w:bCs/>
          <w:color w:val="666666"/>
          <w:spacing w:val="20"/>
          <w:kern w:val="22"/>
          <w:sz w:val="20"/>
          <w:szCs w:val="20"/>
        </w:rPr>
      </w:pPr>
      <w:r w:rsidRPr="00BE5A98">
        <w:rPr>
          <w:rFonts w:cs="Times New Roman (Body CS)"/>
          <w:b/>
          <w:bCs/>
          <w:color w:val="666666"/>
          <w:spacing w:val="20"/>
          <w:kern w:val="22"/>
          <w:sz w:val="20"/>
          <w:szCs w:val="20"/>
        </w:rPr>
        <w:t>Conclusion</w:t>
      </w:r>
    </w:p>
    <w:p w14:paraId="0CA006BC" w14:textId="77777777" w:rsidR="00ED6C44" w:rsidRDefault="00ED6C44" w:rsidP="00BE5A98">
      <w:pPr>
        <w:rPr>
          <w:color w:val="666666"/>
          <w:sz w:val="20"/>
          <w:szCs w:val="20"/>
        </w:rPr>
      </w:pPr>
    </w:p>
    <w:p w14:paraId="14C378A1" w14:textId="4AC6712C" w:rsidR="00BE5A98" w:rsidRDefault="00BE5A98" w:rsidP="00BE5A98">
      <w:pPr>
        <w:rPr>
          <w:color w:val="666666"/>
          <w:sz w:val="20"/>
          <w:szCs w:val="20"/>
        </w:rPr>
      </w:pPr>
      <w:r w:rsidRPr="00BE5A98">
        <w:rPr>
          <w:color w:val="666666"/>
          <w:sz w:val="20"/>
          <w:szCs w:val="20"/>
        </w:rPr>
        <w:t>Following are some tips to assist you in drafting a tuition reimbursement agreement.</w:t>
      </w:r>
    </w:p>
    <w:p w14:paraId="39F08E8F" w14:textId="77777777" w:rsidR="00734639" w:rsidRPr="00BE5A98" w:rsidRDefault="00734639" w:rsidP="00BE5A98">
      <w:pPr>
        <w:rPr>
          <w:color w:val="666666"/>
          <w:sz w:val="20"/>
          <w:szCs w:val="20"/>
        </w:rPr>
      </w:pPr>
    </w:p>
    <w:p w14:paraId="29F774BB" w14:textId="77777777" w:rsidR="00BE5A98" w:rsidRPr="00BE5A98" w:rsidRDefault="00BE5A98" w:rsidP="00A33805">
      <w:pPr>
        <w:pStyle w:val="ListParagraph"/>
        <w:ind w:left="540" w:hanging="180"/>
        <w:rPr>
          <w:color w:val="666666"/>
          <w:sz w:val="20"/>
          <w:szCs w:val="20"/>
        </w:rPr>
      </w:pPr>
      <w:r w:rsidRPr="00BE5A98">
        <w:rPr>
          <w:color w:val="666666"/>
          <w:sz w:val="20"/>
          <w:szCs w:val="20"/>
        </w:rPr>
        <w:t xml:space="preserve">• State in the agreement whether you will pay 100 percent, 75 </w:t>
      </w:r>
      <w:proofErr w:type="gramStart"/>
      <w:r w:rsidRPr="00BE5A98">
        <w:rPr>
          <w:color w:val="666666"/>
          <w:sz w:val="20"/>
          <w:szCs w:val="20"/>
        </w:rPr>
        <w:t>percent</w:t>
      </w:r>
      <w:proofErr w:type="gramEnd"/>
      <w:r w:rsidRPr="00BE5A98">
        <w:rPr>
          <w:color w:val="666666"/>
          <w:sz w:val="20"/>
          <w:szCs w:val="20"/>
        </w:rPr>
        <w:t xml:space="preserve"> or 50 percent (or some other percentage) of tuition costs and whether or not the reimbursement is contingent upon successful completion of the class and obtaining a certain grade.</w:t>
      </w:r>
    </w:p>
    <w:p w14:paraId="15460546" w14:textId="77777777" w:rsidR="00BE5A98" w:rsidRPr="00BE5A98" w:rsidRDefault="00BE5A98" w:rsidP="00A33805">
      <w:pPr>
        <w:pStyle w:val="ListParagraph"/>
        <w:ind w:left="540" w:hanging="180"/>
        <w:rPr>
          <w:color w:val="666666"/>
          <w:sz w:val="20"/>
          <w:szCs w:val="20"/>
        </w:rPr>
      </w:pPr>
      <w:r w:rsidRPr="00BE5A98">
        <w:rPr>
          <w:color w:val="666666"/>
          <w:sz w:val="20"/>
          <w:szCs w:val="20"/>
        </w:rPr>
        <w:t>• Include in the agreement a requirement that the employee submit supporting documentation for the tuition reimbursement and/or level of grade attainment.</w:t>
      </w:r>
    </w:p>
    <w:p w14:paraId="3A451204" w14:textId="77777777" w:rsidR="00BE5A98" w:rsidRPr="00BE5A98" w:rsidRDefault="00BE5A98" w:rsidP="00A33805">
      <w:pPr>
        <w:pStyle w:val="ListParagraph"/>
        <w:ind w:left="540" w:hanging="180"/>
        <w:rPr>
          <w:color w:val="666666"/>
          <w:sz w:val="20"/>
          <w:szCs w:val="20"/>
        </w:rPr>
      </w:pPr>
      <w:r w:rsidRPr="00BE5A98">
        <w:rPr>
          <w:color w:val="666666"/>
          <w:sz w:val="20"/>
          <w:szCs w:val="20"/>
        </w:rPr>
        <w:t>• Define what constitutes a separation from the company that would trigger the provisions of the agreement.</w:t>
      </w:r>
    </w:p>
    <w:p w14:paraId="06D0F727" w14:textId="77777777" w:rsidR="00BE5A98" w:rsidRPr="00BE5A98" w:rsidRDefault="00BE5A98" w:rsidP="00A33805">
      <w:pPr>
        <w:pStyle w:val="ListParagraph"/>
        <w:ind w:left="540" w:hanging="180"/>
        <w:rPr>
          <w:color w:val="666666"/>
          <w:sz w:val="20"/>
          <w:szCs w:val="20"/>
        </w:rPr>
      </w:pPr>
      <w:r w:rsidRPr="00BE5A98">
        <w:rPr>
          <w:color w:val="666666"/>
          <w:sz w:val="20"/>
          <w:szCs w:val="20"/>
        </w:rPr>
        <w:t>• Be sure to include an employment-at-will statement in the agreement, meaning that the agreement is not intended to provide a definite term of employment for the employee and that the employer can still choose to terminate the employment at any time.</w:t>
      </w:r>
    </w:p>
    <w:p w14:paraId="19A64286" w14:textId="3801FA42" w:rsidR="00BE5A98" w:rsidRPr="00BE5A98" w:rsidRDefault="00BE5A98" w:rsidP="00A33805">
      <w:pPr>
        <w:pStyle w:val="ListParagraph"/>
        <w:ind w:left="540" w:hanging="180"/>
        <w:rPr>
          <w:color w:val="666666"/>
          <w:sz w:val="20"/>
          <w:szCs w:val="20"/>
        </w:rPr>
      </w:pPr>
      <w:r w:rsidRPr="00BE5A98">
        <w:rPr>
          <w:color w:val="666666"/>
          <w:sz w:val="20"/>
          <w:szCs w:val="20"/>
        </w:rPr>
        <w:t>• Consult with your CPA or tax attorney to discuss any potential tax implications for the company or employee in connection with the tuition reimbursement agreement</w:t>
      </w:r>
      <w:r w:rsidR="00734639">
        <w:rPr>
          <w:color w:val="666666"/>
          <w:sz w:val="20"/>
          <w:szCs w:val="20"/>
        </w:rPr>
        <w:t xml:space="preserve"> and make those clear in the agreement when you determine the structure.</w:t>
      </w:r>
    </w:p>
    <w:p w14:paraId="2F10969B" w14:textId="19FEAE84" w:rsidR="00110EA2" w:rsidRDefault="00110EA2" w:rsidP="00BE5A98">
      <w:pPr>
        <w:rPr>
          <w:color w:val="666666"/>
          <w:sz w:val="20"/>
          <w:szCs w:val="20"/>
        </w:rPr>
      </w:pPr>
    </w:p>
    <w:p w14:paraId="0AC38D30" w14:textId="77777777" w:rsidR="00AD7FDA" w:rsidRPr="00962468" w:rsidRDefault="00AD7FDA" w:rsidP="00AD7FDA">
      <w:pPr>
        <w:rPr>
          <w:color w:val="666666"/>
          <w:sz w:val="20"/>
          <w:szCs w:val="20"/>
        </w:rPr>
      </w:pPr>
    </w:p>
    <w:p w14:paraId="0B0C16E0" w14:textId="77777777" w:rsidR="00AD7FDA" w:rsidRPr="00093D20" w:rsidRDefault="00AD7FDA" w:rsidP="00AD7FDA">
      <w:pPr>
        <w:rPr>
          <w:color w:val="666666"/>
          <w:sz w:val="20"/>
          <w:szCs w:val="20"/>
        </w:rPr>
      </w:pPr>
      <w:r w:rsidRPr="00AB1E56">
        <w:rPr>
          <w:b/>
          <w:bCs/>
          <w:color w:val="666666"/>
          <w:sz w:val="20"/>
          <w:szCs w:val="20"/>
        </w:rPr>
        <w:t>Note</w:t>
      </w:r>
      <w:r w:rsidRPr="00093D20">
        <w:rPr>
          <w:color w:val="666666"/>
          <w:sz w:val="20"/>
          <w:szCs w:val="20"/>
        </w:rPr>
        <w:t>: Review state laws for state-specific provisions.</w:t>
      </w:r>
    </w:p>
    <w:p w14:paraId="69D637D6" w14:textId="77777777" w:rsidR="00AD7FDA" w:rsidRPr="00093D20" w:rsidRDefault="00AD7FDA" w:rsidP="00AD7FDA">
      <w:pPr>
        <w:rPr>
          <w:color w:val="666666"/>
          <w:sz w:val="20"/>
          <w:szCs w:val="20"/>
        </w:rPr>
      </w:pPr>
    </w:p>
    <w:p w14:paraId="5A28E9E0" w14:textId="77777777" w:rsidR="00AD7FDA" w:rsidRPr="00093D20" w:rsidRDefault="00AD7FDA" w:rsidP="00AD7FDA">
      <w:pPr>
        <w:rPr>
          <w:color w:val="666666"/>
          <w:sz w:val="20"/>
          <w:szCs w:val="20"/>
        </w:rPr>
      </w:pPr>
      <w:r w:rsidRPr="00093D20">
        <w:rPr>
          <w:color w:val="666666"/>
          <w:sz w:val="20"/>
          <w:szCs w:val="20"/>
        </w:rPr>
        <w:t>Written by a Catapult Advisor</w:t>
      </w:r>
    </w:p>
    <w:p w14:paraId="5A79B938" w14:textId="77777777" w:rsidR="00AD7FDA" w:rsidRPr="00BE5A98" w:rsidRDefault="00AD7FDA" w:rsidP="00BE5A98">
      <w:pPr>
        <w:rPr>
          <w:color w:val="666666"/>
          <w:sz w:val="20"/>
          <w:szCs w:val="20"/>
        </w:rPr>
      </w:pPr>
    </w:p>
    <w:sectPr w:rsidR="00AD7FDA" w:rsidRPr="00BE5A98"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A504E" w14:textId="77777777" w:rsidR="0044517B" w:rsidRDefault="0044517B">
      <w:r>
        <w:separator/>
      </w:r>
    </w:p>
  </w:endnote>
  <w:endnote w:type="continuationSeparator" w:id="0">
    <w:p w14:paraId="203F8732" w14:textId="77777777" w:rsidR="0044517B" w:rsidRDefault="0044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78C0A"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24881" w14:textId="77777777" w:rsidR="0044517B" w:rsidRDefault="0044517B">
      <w:r>
        <w:separator/>
      </w:r>
    </w:p>
  </w:footnote>
  <w:footnote w:type="continuationSeparator" w:id="0">
    <w:p w14:paraId="4223C5A5" w14:textId="77777777" w:rsidR="0044517B" w:rsidRDefault="0044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44517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4742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3A43C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1007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44517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63EAA"/>
    <w:multiLevelType w:val="multilevel"/>
    <w:tmpl w:val="693215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86C4F"/>
    <w:multiLevelType w:val="multilevel"/>
    <w:tmpl w:val="E7A663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AD24653"/>
    <w:multiLevelType w:val="multilevel"/>
    <w:tmpl w:val="4A2CD7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E057C"/>
    <w:multiLevelType w:val="multilevel"/>
    <w:tmpl w:val="0860C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4720E"/>
    <w:multiLevelType w:val="multilevel"/>
    <w:tmpl w:val="98BE34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94E3D"/>
    <w:multiLevelType w:val="multilevel"/>
    <w:tmpl w:val="676AC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E1D14"/>
    <w:multiLevelType w:val="multilevel"/>
    <w:tmpl w:val="5FEE8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93F0C"/>
    <w:multiLevelType w:val="multilevel"/>
    <w:tmpl w:val="BDA02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C7789"/>
    <w:multiLevelType w:val="multilevel"/>
    <w:tmpl w:val="1616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5553A4"/>
    <w:multiLevelType w:val="multilevel"/>
    <w:tmpl w:val="DDE07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70BB6"/>
    <w:multiLevelType w:val="multilevel"/>
    <w:tmpl w:val="DE1697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A5CAA"/>
    <w:multiLevelType w:val="multilevel"/>
    <w:tmpl w:val="6ECE5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93C5C"/>
    <w:multiLevelType w:val="multilevel"/>
    <w:tmpl w:val="A0823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E344D0"/>
    <w:multiLevelType w:val="multilevel"/>
    <w:tmpl w:val="29D66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32"/>
  </w:num>
  <w:num w:numId="5">
    <w:abstractNumId w:val="10"/>
  </w:num>
  <w:num w:numId="6">
    <w:abstractNumId w:val="8"/>
  </w:num>
  <w:num w:numId="7">
    <w:abstractNumId w:val="0"/>
  </w:num>
  <w:num w:numId="8">
    <w:abstractNumId w:val="9"/>
  </w:num>
  <w:num w:numId="9">
    <w:abstractNumId w:val="5"/>
  </w:num>
  <w:num w:numId="10">
    <w:abstractNumId w:val="19"/>
  </w:num>
  <w:num w:numId="11">
    <w:abstractNumId w:val="27"/>
  </w:num>
  <w:num w:numId="12">
    <w:abstractNumId w:val="25"/>
  </w:num>
  <w:num w:numId="13">
    <w:abstractNumId w:val="29"/>
  </w:num>
  <w:num w:numId="14">
    <w:abstractNumId w:val="12"/>
  </w:num>
  <w:num w:numId="15">
    <w:abstractNumId w:val="33"/>
  </w:num>
  <w:num w:numId="16">
    <w:abstractNumId w:val="28"/>
  </w:num>
  <w:num w:numId="17">
    <w:abstractNumId w:val="20"/>
  </w:num>
  <w:num w:numId="18">
    <w:abstractNumId w:val="23"/>
  </w:num>
  <w:num w:numId="19">
    <w:abstractNumId w:val="16"/>
  </w:num>
  <w:num w:numId="20">
    <w:abstractNumId w:val="1"/>
  </w:num>
  <w:num w:numId="21">
    <w:abstractNumId w:val="21"/>
  </w:num>
  <w:num w:numId="22">
    <w:abstractNumId w:val="11"/>
  </w:num>
  <w:num w:numId="23">
    <w:abstractNumId w:val="14"/>
  </w:num>
  <w:num w:numId="24">
    <w:abstractNumId w:val="24"/>
  </w:num>
  <w:num w:numId="25">
    <w:abstractNumId w:val="13"/>
  </w:num>
  <w:num w:numId="26">
    <w:abstractNumId w:val="22"/>
  </w:num>
  <w:num w:numId="27">
    <w:abstractNumId w:val="6"/>
  </w:num>
  <w:num w:numId="28">
    <w:abstractNumId w:val="18"/>
  </w:num>
  <w:num w:numId="29">
    <w:abstractNumId w:val="3"/>
  </w:num>
  <w:num w:numId="30">
    <w:abstractNumId w:val="2"/>
  </w:num>
  <w:num w:numId="31">
    <w:abstractNumId w:val="4"/>
  </w:num>
  <w:num w:numId="32">
    <w:abstractNumId w:val="7"/>
  </w:num>
  <w:num w:numId="33">
    <w:abstractNumId w:val="30"/>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44640"/>
    <w:rsid w:val="00090465"/>
    <w:rsid w:val="00093D20"/>
    <w:rsid w:val="000A4E27"/>
    <w:rsid w:val="000B3096"/>
    <w:rsid w:val="000F7BBF"/>
    <w:rsid w:val="00103743"/>
    <w:rsid w:val="00110EA2"/>
    <w:rsid w:val="00163C29"/>
    <w:rsid w:val="001821AF"/>
    <w:rsid w:val="00194E78"/>
    <w:rsid w:val="001D0BA0"/>
    <w:rsid w:val="001D5B08"/>
    <w:rsid w:val="002137AC"/>
    <w:rsid w:val="002353EB"/>
    <w:rsid w:val="00267B87"/>
    <w:rsid w:val="00290988"/>
    <w:rsid w:val="002D3DED"/>
    <w:rsid w:val="002F0F2C"/>
    <w:rsid w:val="00366A67"/>
    <w:rsid w:val="00375A86"/>
    <w:rsid w:val="003762B0"/>
    <w:rsid w:val="00382779"/>
    <w:rsid w:val="003A4022"/>
    <w:rsid w:val="003B2AE3"/>
    <w:rsid w:val="00400629"/>
    <w:rsid w:val="00437B7B"/>
    <w:rsid w:val="0044286D"/>
    <w:rsid w:val="0044517B"/>
    <w:rsid w:val="0047661F"/>
    <w:rsid w:val="004C1A9B"/>
    <w:rsid w:val="004D4A7F"/>
    <w:rsid w:val="004D6C9F"/>
    <w:rsid w:val="004E22FD"/>
    <w:rsid w:val="004F2E5E"/>
    <w:rsid w:val="00520627"/>
    <w:rsid w:val="00531735"/>
    <w:rsid w:val="005412B8"/>
    <w:rsid w:val="00596823"/>
    <w:rsid w:val="005A1E1F"/>
    <w:rsid w:val="005A5A17"/>
    <w:rsid w:val="005B6C2D"/>
    <w:rsid w:val="00616E4A"/>
    <w:rsid w:val="00640ABE"/>
    <w:rsid w:val="00665460"/>
    <w:rsid w:val="00676BC1"/>
    <w:rsid w:val="00680BE5"/>
    <w:rsid w:val="006A767E"/>
    <w:rsid w:val="00734639"/>
    <w:rsid w:val="00745AC7"/>
    <w:rsid w:val="00754D14"/>
    <w:rsid w:val="00767A0F"/>
    <w:rsid w:val="007945F7"/>
    <w:rsid w:val="007E0C3E"/>
    <w:rsid w:val="007E42A3"/>
    <w:rsid w:val="007F0286"/>
    <w:rsid w:val="0084373E"/>
    <w:rsid w:val="008548D5"/>
    <w:rsid w:val="00854AED"/>
    <w:rsid w:val="00883111"/>
    <w:rsid w:val="008950E6"/>
    <w:rsid w:val="00897369"/>
    <w:rsid w:val="008B5CD0"/>
    <w:rsid w:val="008E0023"/>
    <w:rsid w:val="009167EF"/>
    <w:rsid w:val="00933510"/>
    <w:rsid w:val="009559A8"/>
    <w:rsid w:val="00975545"/>
    <w:rsid w:val="009776EF"/>
    <w:rsid w:val="009A11F9"/>
    <w:rsid w:val="009B32AA"/>
    <w:rsid w:val="009B39B2"/>
    <w:rsid w:val="009C3A3D"/>
    <w:rsid w:val="009E4AB5"/>
    <w:rsid w:val="00A06AF4"/>
    <w:rsid w:val="00A11EAF"/>
    <w:rsid w:val="00A33805"/>
    <w:rsid w:val="00A529F7"/>
    <w:rsid w:val="00A645C0"/>
    <w:rsid w:val="00A70DB0"/>
    <w:rsid w:val="00A71264"/>
    <w:rsid w:val="00A72D98"/>
    <w:rsid w:val="00AB1E56"/>
    <w:rsid w:val="00AB4619"/>
    <w:rsid w:val="00AD7FDA"/>
    <w:rsid w:val="00AE430F"/>
    <w:rsid w:val="00AE5D3D"/>
    <w:rsid w:val="00B01CDF"/>
    <w:rsid w:val="00B03737"/>
    <w:rsid w:val="00B12619"/>
    <w:rsid w:val="00B235DC"/>
    <w:rsid w:val="00B26E6A"/>
    <w:rsid w:val="00B327C7"/>
    <w:rsid w:val="00B6291D"/>
    <w:rsid w:val="00B9123C"/>
    <w:rsid w:val="00B96F08"/>
    <w:rsid w:val="00BB0A73"/>
    <w:rsid w:val="00BE0299"/>
    <w:rsid w:val="00BE5A98"/>
    <w:rsid w:val="00BF7984"/>
    <w:rsid w:val="00C25833"/>
    <w:rsid w:val="00C379E2"/>
    <w:rsid w:val="00C50FB1"/>
    <w:rsid w:val="00CC2425"/>
    <w:rsid w:val="00CE5213"/>
    <w:rsid w:val="00CF0073"/>
    <w:rsid w:val="00D06DCD"/>
    <w:rsid w:val="00D07A79"/>
    <w:rsid w:val="00D957F4"/>
    <w:rsid w:val="00E27E1D"/>
    <w:rsid w:val="00E50642"/>
    <w:rsid w:val="00E85403"/>
    <w:rsid w:val="00E86856"/>
    <w:rsid w:val="00EC6134"/>
    <w:rsid w:val="00ED2BA7"/>
    <w:rsid w:val="00ED6C44"/>
    <w:rsid w:val="00EF6625"/>
    <w:rsid w:val="00F70AC2"/>
    <w:rsid w:val="00F72353"/>
    <w:rsid w:val="00F82056"/>
    <w:rsid w:val="00F925D1"/>
    <w:rsid w:val="00FC396B"/>
    <w:rsid w:val="00FC4799"/>
    <w:rsid w:val="00FD56ED"/>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999">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67713506">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588545723">
      <w:bodyDiv w:val="1"/>
      <w:marLeft w:val="0"/>
      <w:marRight w:val="0"/>
      <w:marTop w:val="0"/>
      <w:marBottom w:val="0"/>
      <w:divBdr>
        <w:top w:val="none" w:sz="0" w:space="0" w:color="auto"/>
        <w:left w:val="none" w:sz="0" w:space="0" w:color="auto"/>
        <w:bottom w:val="none" w:sz="0" w:space="0" w:color="auto"/>
        <w:right w:val="none" w:sz="0" w:space="0" w:color="auto"/>
      </w:divBdr>
    </w:div>
    <w:div w:id="868683445">
      <w:bodyDiv w:val="1"/>
      <w:marLeft w:val="0"/>
      <w:marRight w:val="0"/>
      <w:marTop w:val="0"/>
      <w:marBottom w:val="0"/>
      <w:divBdr>
        <w:top w:val="none" w:sz="0" w:space="0" w:color="auto"/>
        <w:left w:val="none" w:sz="0" w:space="0" w:color="auto"/>
        <w:bottom w:val="none" w:sz="0" w:space="0" w:color="auto"/>
        <w:right w:val="none" w:sz="0" w:space="0" w:color="auto"/>
      </w:divBdr>
    </w:div>
    <w:div w:id="986938049">
      <w:bodyDiv w:val="1"/>
      <w:marLeft w:val="0"/>
      <w:marRight w:val="0"/>
      <w:marTop w:val="0"/>
      <w:marBottom w:val="0"/>
      <w:divBdr>
        <w:top w:val="none" w:sz="0" w:space="0" w:color="auto"/>
        <w:left w:val="none" w:sz="0" w:space="0" w:color="auto"/>
        <w:bottom w:val="none" w:sz="0" w:space="0" w:color="auto"/>
        <w:right w:val="none" w:sz="0" w:space="0" w:color="auto"/>
      </w:divBdr>
    </w:div>
    <w:div w:id="1147209392">
      <w:bodyDiv w:val="1"/>
      <w:marLeft w:val="0"/>
      <w:marRight w:val="0"/>
      <w:marTop w:val="0"/>
      <w:marBottom w:val="0"/>
      <w:divBdr>
        <w:top w:val="none" w:sz="0" w:space="0" w:color="auto"/>
        <w:left w:val="none" w:sz="0" w:space="0" w:color="auto"/>
        <w:bottom w:val="none" w:sz="0" w:space="0" w:color="auto"/>
        <w:right w:val="none" w:sz="0" w:space="0" w:color="auto"/>
      </w:divBdr>
    </w:div>
    <w:div w:id="130693305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78317209">
      <w:bodyDiv w:val="1"/>
      <w:marLeft w:val="0"/>
      <w:marRight w:val="0"/>
      <w:marTop w:val="0"/>
      <w:marBottom w:val="0"/>
      <w:divBdr>
        <w:top w:val="none" w:sz="0" w:space="0" w:color="auto"/>
        <w:left w:val="none" w:sz="0" w:space="0" w:color="auto"/>
        <w:bottom w:val="none" w:sz="0" w:space="0" w:color="auto"/>
        <w:right w:val="none" w:sz="0" w:space="0" w:color="auto"/>
      </w:divBdr>
    </w:div>
    <w:div w:id="1428503355">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1758792499">
      <w:bodyDiv w:val="1"/>
      <w:marLeft w:val="0"/>
      <w:marRight w:val="0"/>
      <w:marTop w:val="0"/>
      <w:marBottom w:val="0"/>
      <w:divBdr>
        <w:top w:val="none" w:sz="0" w:space="0" w:color="auto"/>
        <w:left w:val="none" w:sz="0" w:space="0" w:color="auto"/>
        <w:bottom w:val="none" w:sz="0" w:space="0" w:color="auto"/>
        <w:right w:val="none" w:sz="0" w:space="0" w:color="auto"/>
      </w:divBdr>
    </w:div>
    <w:div w:id="1873954035">
      <w:bodyDiv w:val="1"/>
      <w:marLeft w:val="0"/>
      <w:marRight w:val="0"/>
      <w:marTop w:val="0"/>
      <w:marBottom w:val="0"/>
      <w:divBdr>
        <w:top w:val="none" w:sz="0" w:space="0" w:color="auto"/>
        <w:left w:val="none" w:sz="0" w:space="0" w:color="auto"/>
        <w:bottom w:val="none" w:sz="0" w:space="0" w:color="auto"/>
        <w:right w:val="none" w:sz="0" w:space="0" w:color="auto"/>
      </w:divBdr>
    </w:div>
    <w:div w:id="1916471721">
      <w:bodyDiv w:val="1"/>
      <w:marLeft w:val="0"/>
      <w:marRight w:val="0"/>
      <w:marTop w:val="0"/>
      <w:marBottom w:val="0"/>
      <w:divBdr>
        <w:top w:val="none" w:sz="0" w:space="0" w:color="auto"/>
        <w:left w:val="none" w:sz="0" w:space="0" w:color="auto"/>
        <w:bottom w:val="none" w:sz="0" w:space="0" w:color="auto"/>
        <w:right w:val="none" w:sz="0" w:space="0" w:color="auto"/>
      </w:divBdr>
    </w:div>
    <w:div w:id="1969819553">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18</cp:revision>
  <dcterms:created xsi:type="dcterms:W3CDTF">2021-04-14T15:29:00Z</dcterms:created>
  <dcterms:modified xsi:type="dcterms:W3CDTF">2021-04-14T15:46:00Z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