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133E4" w14:textId="0C8E7CA7" w:rsidR="00876E50" w:rsidRPr="00876E50" w:rsidRDefault="00876E50" w:rsidP="003E573A">
      <w:pPr>
        <w:rPr>
          <w:b/>
          <w:bCs/>
        </w:rPr>
      </w:pPr>
      <w:r w:rsidRPr="00876E50">
        <w:rPr>
          <w:b/>
          <w:bCs/>
        </w:rPr>
        <w:t>FMLA and Restoration of Job</w:t>
      </w:r>
    </w:p>
    <w:p w14:paraId="02B11928" w14:textId="77777777" w:rsidR="00876E50" w:rsidRDefault="00876E50" w:rsidP="003E573A"/>
    <w:p w14:paraId="054AE1B3" w14:textId="5E61D44A" w:rsidR="00876E50" w:rsidRPr="00876E50" w:rsidRDefault="00876E50" w:rsidP="00876E50">
      <w:pPr>
        <w:pStyle w:val="NormalWeb"/>
        <w:shd w:val="clear" w:color="auto" w:fill="FFFFFF"/>
        <w:spacing w:before="0" w:beforeAutospacing="0" w:after="0" w:afterAutospacing="0" w:line="420" w:lineRule="atLeast"/>
        <w:rPr>
          <w:rFonts w:ascii="Arial" w:hAnsi="Arial" w:cs="Arial"/>
          <w:color w:val="303030"/>
          <w:sz w:val="22"/>
          <w:szCs w:val="22"/>
        </w:rPr>
      </w:pPr>
      <w:r w:rsidRPr="00876E50">
        <w:rPr>
          <w:rFonts w:ascii="Arial" w:hAnsi="Arial" w:cs="Arial"/>
          <w:color w:val="303030"/>
          <w:sz w:val="22"/>
          <w:szCs w:val="22"/>
        </w:rPr>
        <w:t>Following are some common Q&amp;A’s regarding the Family and Medical Leave Act (FMLA). This is not intended to be an exhaustive list. </w:t>
      </w:r>
    </w:p>
    <w:p w14:paraId="24C14B4C" w14:textId="77777777" w:rsidR="00876E50" w:rsidRPr="00876E50" w:rsidRDefault="00876E50" w:rsidP="00876E50">
      <w:pPr>
        <w:shd w:val="clear" w:color="auto" w:fill="FFFFFF"/>
        <w:spacing w:line="420" w:lineRule="atLeast"/>
        <w:rPr>
          <w:rFonts w:ascii="Arial" w:eastAsia="Times New Roman" w:hAnsi="Arial" w:cs="Arial"/>
          <w:color w:val="303030"/>
          <w:sz w:val="22"/>
          <w:szCs w:val="22"/>
          <w:lang w:bidi="ar-SA"/>
        </w:rPr>
      </w:pPr>
      <w:r w:rsidRPr="00876E50">
        <w:rPr>
          <w:rFonts w:ascii="Arial" w:eastAsia="Times New Roman" w:hAnsi="Arial" w:cs="Arial"/>
          <w:b/>
          <w:bCs/>
          <w:i/>
          <w:iCs/>
          <w:color w:val="303030"/>
          <w:sz w:val="22"/>
          <w:szCs w:val="22"/>
          <w:lang w:bidi="ar-SA"/>
        </w:rPr>
        <w:t xml:space="preserve">1.  Can you deny FMLA when the medical certification states the employee will not be able to perform their job for an indefinite </w:t>
      </w:r>
      <w:proofErr w:type="gramStart"/>
      <w:r w:rsidRPr="00876E50">
        <w:rPr>
          <w:rFonts w:ascii="Arial" w:eastAsia="Times New Roman" w:hAnsi="Arial" w:cs="Arial"/>
          <w:b/>
          <w:bCs/>
          <w:i/>
          <w:iCs/>
          <w:color w:val="303030"/>
          <w:sz w:val="22"/>
          <w:szCs w:val="22"/>
          <w:lang w:bidi="ar-SA"/>
        </w:rPr>
        <w:t>period of time</w:t>
      </w:r>
      <w:proofErr w:type="gramEnd"/>
      <w:r w:rsidRPr="00876E50">
        <w:rPr>
          <w:rFonts w:ascii="Arial" w:eastAsia="Times New Roman" w:hAnsi="Arial" w:cs="Arial"/>
          <w:b/>
          <w:bCs/>
          <w:i/>
          <w:iCs/>
          <w:color w:val="303030"/>
          <w:sz w:val="22"/>
          <w:szCs w:val="22"/>
          <w:lang w:bidi="ar-SA"/>
        </w:rPr>
        <w:t>?</w:t>
      </w:r>
    </w:p>
    <w:p w14:paraId="26727016" w14:textId="77777777" w:rsidR="00876E50" w:rsidRPr="00876E50" w:rsidRDefault="00876E50" w:rsidP="00876E50">
      <w:pPr>
        <w:shd w:val="clear" w:color="auto" w:fill="FFFFFF"/>
        <w:spacing w:line="420" w:lineRule="atLeast"/>
        <w:rPr>
          <w:rFonts w:ascii="Arial" w:eastAsia="Times New Roman" w:hAnsi="Arial" w:cs="Arial"/>
          <w:color w:val="303030"/>
          <w:sz w:val="22"/>
          <w:szCs w:val="22"/>
          <w:lang w:bidi="ar-SA"/>
        </w:rPr>
      </w:pPr>
      <w:r w:rsidRPr="00876E50">
        <w:rPr>
          <w:rFonts w:ascii="Arial" w:eastAsia="Times New Roman" w:hAnsi="Arial" w:cs="Arial"/>
          <w:color w:val="303030"/>
          <w:sz w:val="22"/>
          <w:szCs w:val="22"/>
          <w:lang w:bidi="ar-SA"/>
        </w:rPr>
        <w:t>Unless the employee gives unequivocal notice that they do not plan to return to work (recommended in writing), a covered employer must grant FMLA to an employee who meets the eligibility criteria (12 months, 1250 hours in previous 12 months and a qualifying serious health condition).  If an employee advises that they would like to return but are unable to because of health reasons, they will be entitled to the FMLA benefit.</w:t>
      </w:r>
    </w:p>
    <w:p w14:paraId="0F42CECB" w14:textId="77777777" w:rsidR="00876E50" w:rsidRPr="00876E50" w:rsidRDefault="00876E50" w:rsidP="00876E50">
      <w:pPr>
        <w:shd w:val="clear" w:color="auto" w:fill="FFFFFF"/>
        <w:spacing w:line="420" w:lineRule="atLeast"/>
        <w:rPr>
          <w:rFonts w:ascii="Arial" w:eastAsia="Times New Roman" w:hAnsi="Arial" w:cs="Arial"/>
          <w:color w:val="303030"/>
          <w:sz w:val="22"/>
          <w:szCs w:val="22"/>
          <w:lang w:bidi="ar-SA"/>
        </w:rPr>
      </w:pPr>
      <w:r w:rsidRPr="00876E50">
        <w:rPr>
          <w:rFonts w:ascii="Arial" w:eastAsia="Times New Roman" w:hAnsi="Arial" w:cs="Arial"/>
          <w:b/>
          <w:bCs/>
          <w:i/>
          <w:iCs/>
          <w:color w:val="303030"/>
          <w:sz w:val="22"/>
          <w:szCs w:val="22"/>
          <w:lang w:bidi="ar-SA"/>
        </w:rPr>
        <w:t>2.  What are other reasons FMLA can be denied?</w:t>
      </w:r>
      <w:r w:rsidRPr="00876E50">
        <w:rPr>
          <w:rFonts w:ascii="Arial" w:eastAsia="Times New Roman" w:hAnsi="Arial" w:cs="Arial"/>
          <w:color w:val="303030"/>
          <w:sz w:val="22"/>
          <w:szCs w:val="22"/>
          <w:lang w:bidi="ar-SA"/>
        </w:rPr>
        <w:t>          </w:t>
      </w:r>
    </w:p>
    <w:p w14:paraId="1103EA36" w14:textId="77777777" w:rsidR="00876E50" w:rsidRPr="00876E50" w:rsidRDefault="00876E50" w:rsidP="00876E50">
      <w:pPr>
        <w:numPr>
          <w:ilvl w:val="0"/>
          <w:numId w:val="23"/>
        </w:numPr>
        <w:shd w:val="clear" w:color="auto" w:fill="FFFFFF"/>
        <w:spacing w:before="100" w:beforeAutospacing="1" w:after="100" w:afterAutospacing="1"/>
        <w:rPr>
          <w:rFonts w:ascii="Arial" w:eastAsia="Times New Roman" w:hAnsi="Arial" w:cs="Arial"/>
          <w:color w:val="303030"/>
          <w:sz w:val="22"/>
          <w:szCs w:val="22"/>
          <w:lang w:bidi="ar-SA"/>
        </w:rPr>
      </w:pPr>
      <w:r w:rsidRPr="00876E50">
        <w:rPr>
          <w:rFonts w:ascii="Arial" w:eastAsia="Times New Roman" w:hAnsi="Arial" w:cs="Arial"/>
          <w:color w:val="303030"/>
          <w:sz w:val="22"/>
          <w:szCs w:val="22"/>
          <w:lang w:bidi="ar-SA"/>
        </w:rPr>
        <w:t>The employer is not covered, or the employee works at a location that is not covered (50 employees within 75 miles).</w:t>
      </w:r>
    </w:p>
    <w:p w14:paraId="5E3CD063" w14:textId="77777777" w:rsidR="00876E50" w:rsidRPr="00876E50" w:rsidRDefault="00876E50" w:rsidP="00876E50">
      <w:pPr>
        <w:numPr>
          <w:ilvl w:val="0"/>
          <w:numId w:val="23"/>
        </w:numPr>
        <w:shd w:val="clear" w:color="auto" w:fill="FFFFFF"/>
        <w:spacing w:before="100" w:beforeAutospacing="1" w:after="100" w:afterAutospacing="1"/>
        <w:rPr>
          <w:rFonts w:ascii="Arial" w:eastAsia="Times New Roman" w:hAnsi="Arial" w:cs="Arial"/>
          <w:color w:val="303030"/>
          <w:sz w:val="22"/>
          <w:szCs w:val="22"/>
          <w:lang w:bidi="ar-SA"/>
        </w:rPr>
      </w:pPr>
      <w:r w:rsidRPr="00876E50">
        <w:rPr>
          <w:rFonts w:ascii="Arial" w:eastAsia="Times New Roman" w:hAnsi="Arial" w:cs="Arial"/>
          <w:color w:val="303030"/>
          <w:sz w:val="22"/>
          <w:szCs w:val="22"/>
          <w:lang w:bidi="ar-SA"/>
        </w:rPr>
        <w:t>The employee has not worked 12 months (does not have to be consecutive) and 1250 hours in the previous 12 months.</w:t>
      </w:r>
    </w:p>
    <w:p w14:paraId="5E135DB3" w14:textId="77777777" w:rsidR="00876E50" w:rsidRPr="00876E50" w:rsidRDefault="00876E50" w:rsidP="00876E50">
      <w:pPr>
        <w:numPr>
          <w:ilvl w:val="0"/>
          <w:numId w:val="23"/>
        </w:numPr>
        <w:shd w:val="clear" w:color="auto" w:fill="FFFFFF"/>
        <w:spacing w:before="100" w:beforeAutospacing="1" w:after="100" w:afterAutospacing="1"/>
        <w:rPr>
          <w:rFonts w:ascii="Arial" w:eastAsia="Times New Roman" w:hAnsi="Arial" w:cs="Arial"/>
          <w:color w:val="303030"/>
          <w:sz w:val="22"/>
          <w:szCs w:val="22"/>
          <w:lang w:bidi="ar-SA"/>
        </w:rPr>
      </w:pPr>
      <w:r w:rsidRPr="00876E50">
        <w:rPr>
          <w:rFonts w:ascii="Arial" w:eastAsia="Times New Roman" w:hAnsi="Arial" w:cs="Arial"/>
          <w:color w:val="303030"/>
          <w:sz w:val="22"/>
          <w:szCs w:val="22"/>
          <w:lang w:bidi="ar-SA"/>
        </w:rPr>
        <w:t>The employee requests leave for a non-covered family member.</w:t>
      </w:r>
    </w:p>
    <w:p w14:paraId="27FE7FE9" w14:textId="77777777" w:rsidR="00876E50" w:rsidRPr="00876E50" w:rsidRDefault="00876E50" w:rsidP="00876E50">
      <w:pPr>
        <w:numPr>
          <w:ilvl w:val="0"/>
          <w:numId w:val="23"/>
        </w:numPr>
        <w:shd w:val="clear" w:color="auto" w:fill="FFFFFF"/>
        <w:spacing w:before="100" w:beforeAutospacing="1" w:after="100" w:afterAutospacing="1"/>
        <w:rPr>
          <w:rFonts w:ascii="Arial" w:eastAsia="Times New Roman" w:hAnsi="Arial" w:cs="Arial"/>
          <w:color w:val="303030"/>
          <w:sz w:val="22"/>
          <w:szCs w:val="22"/>
          <w:lang w:bidi="ar-SA"/>
        </w:rPr>
      </w:pPr>
      <w:r w:rsidRPr="00876E50">
        <w:rPr>
          <w:rFonts w:ascii="Arial" w:eastAsia="Times New Roman" w:hAnsi="Arial" w:cs="Arial"/>
          <w:color w:val="303030"/>
          <w:sz w:val="22"/>
          <w:szCs w:val="22"/>
          <w:lang w:bidi="ar-SA"/>
        </w:rPr>
        <w:t>The employee fails to provide the required medical certification to support the need for leave when the reason is not obvious.  (Employers may have enough information to designate FMLA when requested in some cases such as known inpatient hospitalization, covered by short term disability or workers’ compensation.)</w:t>
      </w:r>
    </w:p>
    <w:p w14:paraId="697DC5FD" w14:textId="77777777" w:rsidR="00876E50" w:rsidRPr="00876E50" w:rsidRDefault="00876E50" w:rsidP="00876E50">
      <w:pPr>
        <w:numPr>
          <w:ilvl w:val="0"/>
          <w:numId w:val="23"/>
        </w:numPr>
        <w:shd w:val="clear" w:color="auto" w:fill="FFFFFF"/>
        <w:spacing w:before="100" w:beforeAutospacing="1" w:after="100" w:afterAutospacing="1"/>
        <w:rPr>
          <w:rFonts w:ascii="Arial" w:eastAsia="Times New Roman" w:hAnsi="Arial" w:cs="Arial"/>
          <w:color w:val="303030"/>
          <w:sz w:val="22"/>
          <w:szCs w:val="22"/>
          <w:lang w:bidi="ar-SA"/>
        </w:rPr>
      </w:pPr>
      <w:r w:rsidRPr="00876E50">
        <w:rPr>
          <w:rFonts w:ascii="Arial" w:eastAsia="Times New Roman" w:hAnsi="Arial" w:cs="Arial"/>
          <w:color w:val="303030"/>
          <w:sz w:val="22"/>
          <w:szCs w:val="22"/>
          <w:lang w:bidi="ar-SA"/>
        </w:rPr>
        <w:t xml:space="preserve">The employee fails to provide adequate notice of the need for foreseeable leave or follow the appropriate </w:t>
      </w:r>
      <w:proofErr w:type="gramStart"/>
      <w:r w:rsidRPr="00876E50">
        <w:rPr>
          <w:rFonts w:ascii="Arial" w:eastAsia="Times New Roman" w:hAnsi="Arial" w:cs="Arial"/>
          <w:color w:val="303030"/>
          <w:sz w:val="22"/>
          <w:szCs w:val="22"/>
          <w:lang w:bidi="ar-SA"/>
        </w:rPr>
        <w:t>call in</w:t>
      </w:r>
      <w:proofErr w:type="gramEnd"/>
      <w:r w:rsidRPr="00876E50">
        <w:rPr>
          <w:rFonts w:ascii="Arial" w:eastAsia="Times New Roman" w:hAnsi="Arial" w:cs="Arial"/>
          <w:color w:val="303030"/>
          <w:sz w:val="22"/>
          <w:szCs w:val="22"/>
          <w:lang w:bidi="ar-SA"/>
        </w:rPr>
        <w:t xml:space="preserve"> procedures. [See </w:t>
      </w:r>
      <w:hyperlink r:id="rId10" w:tgtFrame="_blank" w:history="1">
        <w:r w:rsidRPr="00876E50">
          <w:rPr>
            <w:rFonts w:ascii="Arial" w:eastAsia="Times New Roman" w:hAnsi="Arial" w:cs="Arial"/>
            <w:color w:val="0070D2"/>
            <w:sz w:val="22"/>
            <w:szCs w:val="22"/>
            <w:u w:val="single"/>
            <w:lang w:bidi="ar-SA"/>
          </w:rPr>
          <w:t>http://www.law.cornell.edu/cfr/text/29/825.302.]</w:t>
        </w:r>
      </w:hyperlink>
    </w:p>
    <w:p w14:paraId="19216B88" w14:textId="77777777" w:rsidR="00876E50" w:rsidRPr="00876E50" w:rsidRDefault="00876E50" w:rsidP="00876E50">
      <w:pPr>
        <w:shd w:val="clear" w:color="auto" w:fill="FFFFFF"/>
        <w:spacing w:line="420" w:lineRule="atLeast"/>
        <w:rPr>
          <w:rFonts w:ascii="Arial" w:eastAsia="Times New Roman" w:hAnsi="Arial" w:cs="Arial"/>
          <w:color w:val="303030"/>
          <w:sz w:val="22"/>
          <w:szCs w:val="22"/>
          <w:lang w:bidi="ar-SA"/>
        </w:rPr>
      </w:pPr>
      <w:r w:rsidRPr="00876E50">
        <w:rPr>
          <w:rFonts w:ascii="Arial" w:eastAsia="Times New Roman" w:hAnsi="Arial" w:cs="Arial"/>
          <w:b/>
          <w:bCs/>
          <w:i/>
          <w:iCs/>
          <w:color w:val="303030"/>
          <w:sz w:val="22"/>
          <w:szCs w:val="22"/>
          <w:lang w:bidi="ar-SA"/>
        </w:rPr>
        <w:t xml:space="preserve">3.  If an employee’s job was already scheduled to be eliminated before </w:t>
      </w:r>
      <w:proofErr w:type="gramStart"/>
      <w:r w:rsidRPr="00876E50">
        <w:rPr>
          <w:rFonts w:ascii="Arial" w:eastAsia="Times New Roman" w:hAnsi="Arial" w:cs="Arial"/>
          <w:b/>
          <w:bCs/>
          <w:i/>
          <w:iCs/>
          <w:color w:val="303030"/>
          <w:sz w:val="22"/>
          <w:szCs w:val="22"/>
          <w:lang w:bidi="ar-SA"/>
        </w:rPr>
        <w:t>we're</w:t>
      </w:r>
      <w:proofErr w:type="gramEnd"/>
      <w:r w:rsidRPr="00876E50">
        <w:rPr>
          <w:rFonts w:ascii="Arial" w:eastAsia="Times New Roman" w:hAnsi="Arial" w:cs="Arial"/>
          <w:b/>
          <w:bCs/>
          <w:i/>
          <w:iCs/>
          <w:color w:val="303030"/>
          <w:sz w:val="22"/>
          <w:szCs w:val="22"/>
          <w:lang w:bidi="ar-SA"/>
        </w:rPr>
        <w:t xml:space="preserve"> notified of the need for upcoming FMLA, can we still terminate or should we wait until the end of the FMLA?</w:t>
      </w:r>
    </w:p>
    <w:p w14:paraId="3226F41C" w14:textId="77777777" w:rsidR="00876E50" w:rsidRPr="00876E50" w:rsidRDefault="00876E50" w:rsidP="00876E50">
      <w:pPr>
        <w:shd w:val="clear" w:color="auto" w:fill="FFFFFF"/>
        <w:spacing w:line="420" w:lineRule="atLeast"/>
        <w:rPr>
          <w:rFonts w:ascii="Arial" w:eastAsia="Times New Roman" w:hAnsi="Arial" w:cs="Arial"/>
          <w:color w:val="303030"/>
          <w:sz w:val="22"/>
          <w:szCs w:val="22"/>
          <w:lang w:bidi="ar-SA"/>
        </w:rPr>
      </w:pPr>
      <w:r w:rsidRPr="00876E50">
        <w:rPr>
          <w:rFonts w:ascii="Arial" w:eastAsia="Times New Roman" w:hAnsi="Arial" w:cs="Arial"/>
          <w:color w:val="303030"/>
          <w:sz w:val="22"/>
          <w:szCs w:val="22"/>
          <w:lang w:bidi="ar-SA"/>
        </w:rPr>
        <w:t>If the decision was already made and the business documentation is in place (reasons, emails about decision, management conversations, etc.), the FMLA may be denied.  You would have the same dilemma for denying restoration as for denying leave.   However, it is your choice if you want to provide the FMLA leave benefit and then deny restoration to continue employee benefits during this period (precedent setting).  If you cannot support the business reasons to eliminate the job other than for the taking of FMLA leave, reconsider your decision.</w:t>
      </w:r>
    </w:p>
    <w:p w14:paraId="1B6F9663" w14:textId="77777777" w:rsidR="00876E50" w:rsidRPr="00876E50" w:rsidRDefault="00876E50" w:rsidP="00876E50">
      <w:pPr>
        <w:shd w:val="clear" w:color="auto" w:fill="FFFFFF"/>
        <w:spacing w:line="420" w:lineRule="atLeast"/>
        <w:rPr>
          <w:rFonts w:ascii="Arial" w:eastAsia="Times New Roman" w:hAnsi="Arial" w:cs="Arial"/>
          <w:color w:val="303030"/>
          <w:sz w:val="22"/>
          <w:szCs w:val="22"/>
          <w:lang w:bidi="ar-SA"/>
        </w:rPr>
      </w:pPr>
      <w:r w:rsidRPr="00876E50">
        <w:rPr>
          <w:rFonts w:ascii="Arial" w:eastAsia="Times New Roman" w:hAnsi="Arial" w:cs="Arial"/>
          <w:b/>
          <w:bCs/>
          <w:i/>
          <w:iCs/>
          <w:color w:val="303030"/>
          <w:sz w:val="22"/>
          <w:szCs w:val="22"/>
          <w:lang w:bidi="ar-SA"/>
        </w:rPr>
        <w:t>4.  FMLA restoration can be denied if:</w:t>
      </w:r>
    </w:p>
    <w:p w14:paraId="22E920FE" w14:textId="77777777" w:rsidR="00876E50" w:rsidRPr="00876E50" w:rsidRDefault="00876E50" w:rsidP="00876E50">
      <w:pPr>
        <w:numPr>
          <w:ilvl w:val="0"/>
          <w:numId w:val="24"/>
        </w:numPr>
        <w:shd w:val="clear" w:color="auto" w:fill="FFFFFF"/>
        <w:spacing w:before="100" w:beforeAutospacing="1" w:after="100" w:afterAutospacing="1"/>
        <w:rPr>
          <w:rFonts w:ascii="Arial" w:eastAsia="Times New Roman" w:hAnsi="Arial" w:cs="Arial"/>
          <w:color w:val="303030"/>
          <w:sz w:val="22"/>
          <w:szCs w:val="22"/>
          <w:lang w:bidi="ar-SA"/>
        </w:rPr>
      </w:pPr>
      <w:r w:rsidRPr="00876E50">
        <w:rPr>
          <w:rFonts w:ascii="Arial" w:eastAsia="Times New Roman" w:hAnsi="Arial" w:cs="Arial"/>
          <w:color w:val="303030"/>
          <w:sz w:val="22"/>
          <w:szCs w:val="22"/>
          <w:lang w:bidi="ar-SA"/>
        </w:rPr>
        <w:t xml:space="preserve">The employee is a key employee, and you notified them at the time they requested FMLA that restoration would cause “substantial and grievous economic injury."  The definition of a key employee under FMLA is </w:t>
      </w:r>
      <w:proofErr w:type="spellStart"/>
      <w:r w:rsidRPr="00876E50">
        <w:rPr>
          <w:rFonts w:ascii="Arial" w:eastAsia="Times New Roman" w:hAnsi="Arial" w:cs="Arial"/>
          <w:color w:val="303030"/>
          <w:sz w:val="22"/>
          <w:szCs w:val="22"/>
          <w:lang w:bidi="ar-SA"/>
        </w:rPr>
        <w:t>is</w:t>
      </w:r>
      <w:proofErr w:type="spellEnd"/>
      <w:r w:rsidRPr="00876E50">
        <w:rPr>
          <w:rFonts w:ascii="Arial" w:eastAsia="Times New Roman" w:hAnsi="Arial" w:cs="Arial"/>
          <w:color w:val="303030"/>
          <w:sz w:val="22"/>
          <w:szCs w:val="22"/>
          <w:lang w:bidi="ar-SA"/>
        </w:rPr>
        <w:t xml:space="preserve"> a salaried, FMLA-eligible employee who is among the highest paid 10 percent of all </w:t>
      </w:r>
      <w:r w:rsidRPr="00876E50">
        <w:rPr>
          <w:rFonts w:ascii="Arial" w:eastAsia="Times New Roman" w:hAnsi="Arial" w:cs="Arial"/>
          <w:color w:val="303030"/>
          <w:sz w:val="22"/>
          <w:szCs w:val="22"/>
          <w:lang w:bidi="ar-SA"/>
        </w:rPr>
        <w:lastRenderedPageBreak/>
        <w:t xml:space="preserve">the employees employed by the employer within 75 miles of the employee's worksite. Under limited circumstances where restoration to employment will cause "substantial and grievous economic injury" to its operations, an employer may refuse to reinstate certain </w:t>
      </w:r>
      <w:proofErr w:type="gramStart"/>
      <w:r w:rsidRPr="00876E50">
        <w:rPr>
          <w:rFonts w:ascii="Arial" w:eastAsia="Times New Roman" w:hAnsi="Arial" w:cs="Arial"/>
          <w:color w:val="303030"/>
          <w:sz w:val="22"/>
          <w:szCs w:val="22"/>
          <w:lang w:bidi="ar-SA"/>
        </w:rPr>
        <w:t>highly-paid</w:t>
      </w:r>
      <w:proofErr w:type="gramEnd"/>
      <w:r w:rsidRPr="00876E50">
        <w:rPr>
          <w:rFonts w:ascii="Arial" w:eastAsia="Times New Roman" w:hAnsi="Arial" w:cs="Arial"/>
          <w:color w:val="303030"/>
          <w:sz w:val="22"/>
          <w:szCs w:val="22"/>
          <w:lang w:bidi="ar-SA"/>
        </w:rPr>
        <w:t xml:space="preserve">, salaried "key" employees. </w:t>
      </w:r>
      <w:proofErr w:type="gramStart"/>
      <w:r w:rsidRPr="00876E50">
        <w:rPr>
          <w:rFonts w:ascii="Arial" w:eastAsia="Times New Roman" w:hAnsi="Arial" w:cs="Arial"/>
          <w:color w:val="303030"/>
          <w:sz w:val="22"/>
          <w:szCs w:val="22"/>
          <w:lang w:bidi="ar-SA"/>
        </w:rPr>
        <w:t>In order to</w:t>
      </w:r>
      <w:proofErr w:type="gramEnd"/>
      <w:r w:rsidRPr="00876E50">
        <w:rPr>
          <w:rFonts w:ascii="Arial" w:eastAsia="Times New Roman" w:hAnsi="Arial" w:cs="Arial"/>
          <w:color w:val="303030"/>
          <w:sz w:val="22"/>
          <w:szCs w:val="22"/>
          <w:lang w:bidi="ar-SA"/>
        </w:rPr>
        <w:t xml:space="preserve"> do so, the employer must notify the employee in writing of his/her status as a "key" employee (as defined by FMLA), the reasons for denying job restoration, and provide the employee a reasonable opportunity to return to work after so notifying the employee. (US DOL)</w:t>
      </w:r>
    </w:p>
    <w:p w14:paraId="64A37F9F" w14:textId="77777777" w:rsidR="00876E50" w:rsidRPr="00876E50" w:rsidRDefault="00876E50" w:rsidP="00876E50">
      <w:pPr>
        <w:numPr>
          <w:ilvl w:val="0"/>
          <w:numId w:val="24"/>
        </w:numPr>
        <w:shd w:val="clear" w:color="auto" w:fill="FFFFFF"/>
        <w:spacing w:before="100" w:beforeAutospacing="1" w:after="100" w:afterAutospacing="1"/>
        <w:rPr>
          <w:rFonts w:ascii="Arial" w:eastAsia="Times New Roman" w:hAnsi="Arial" w:cs="Arial"/>
          <w:color w:val="303030"/>
          <w:sz w:val="22"/>
          <w:szCs w:val="22"/>
          <w:lang w:bidi="ar-SA"/>
        </w:rPr>
      </w:pPr>
      <w:r w:rsidRPr="00876E50">
        <w:rPr>
          <w:rFonts w:ascii="Arial" w:eastAsia="Times New Roman" w:hAnsi="Arial" w:cs="Arial"/>
          <w:color w:val="303030"/>
          <w:sz w:val="22"/>
          <w:szCs w:val="22"/>
          <w:lang w:bidi="ar-SA"/>
        </w:rPr>
        <w:t xml:space="preserve">You determine the employee fraudulently applied for FMLA and used the time for another reason.  You must be able to prove fraud to deny the FMLA.  </w:t>
      </w:r>
      <w:proofErr w:type="gramStart"/>
      <w:r w:rsidRPr="00876E50">
        <w:rPr>
          <w:rFonts w:ascii="Arial" w:eastAsia="Times New Roman" w:hAnsi="Arial" w:cs="Arial"/>
          <w:color w:val="303030"/>
          <w:sz w:val="22"/>
          <w:szCs w:val="22"/>
          <w:lang w:bidi="ar-SA"/>
        </w:rPr>
        <w:t>Obviously</w:t>
      </w:r>
      <w:proofErr w:type="gramEnd"/>
      <w:r w:rsidRPr="00876E50">
        <w:rPr>
          <w:rFonts w:ascii="Arial" w:eastAsia="Times New Roman" w:hAnsi="Arial" w:cs="Arial"/>
          <w:color w:val="303030"/>
          <w:sz w:val="22"/>
          <w:szCs w:val="22"/>
          <w:lang w:bidi="ar-SA"/>
        </w:rPr>
        <w:t xml:space="preserve"> this would also result in disciplinary action according to your company policy.</w:t>
      </w:r>
    </w:p>
    <w:p w14:paraId="6F63DE4F" w14:textId="77777777" w:rsidR="00876E50" w:rsidRPr="00876E50" w:rsidRDefault="00876E50" w:rsidP="00876E50">
      <w:pPr>
        <w:numPr>
          <w:ilvl w:val="0"/>
          <w:numId w:val="24"/>
        </w:numPr>
        <w:shd w:val="clear" w:color="auto" w:fill="FFFFFF"/>
        <w:spacing w:before="100" w:beforeAutospacing="1" w:after="100" w:afterAutospacing="1"/>
        <w:rPr>
          <w:rFonts w:ascii="Arial" w:eastAsia="Times New Roman" w:hAnsi="Arial" w:cs="Arial"/>
          <w:color w:val="303030"/>
          <w:sz w:val="22"/>
          <w:szCs w:val="22"/>
          <w:lang w:bidi="ar-SA"/>
        </w:rPr>
      </w:pPr>
      <w:r w:rsidRPr="00876E50">
        <w:rPr>
          <w:rFonts w:ascii="Arial" w:eastAsia="Times New Roman" w:hAnsi="Arial" w:cs="Arial"/>
          <w:color w:val="303030"/>
          <w:sz w:val="22"/>
          <w:szCs w:val="22"/>
          <w:lang w:bidi="ar-SA"/>
        </w:rPr>
        <w:t>You have a policy that employees cannot work for another employer while on an approved leave of absence, and you determine the employee worked. [Note: It is possible that an employee may be unable to perform the functions of their job with your company but could perform other work that would be within their medical restrictions.  However, you may still have a policy that they cannot work during the hours they would have worked for you when on a Leave of Absence.]</w:t>
      </w:r>
    </w:p>
    <w:p w14:paraId="65547DF3" w14:textId="77777777" w:rsidR="00876E50" w:rsidRPr="00876E50" w:rsidRDefault="00876E50" w:rsidP="00876E50">
      <w:pPr>
        <w:numPr>
          <w:ilvl w:val="0"/>
          <w:numId w:val="24"/>
        </w:numPr>
        <w:shd w:val="clear" w:color="auto" w:fill="FFFFFF"/>
        <w:spacing w:before="100" w:beforeAutospacing="1" w:after="100" w:afterAutospacing="1"/>
        <w:rPr>
          <w:rFonts w:ascii="Arial" w:eastAsia="Times New Roman" w:hAnsi="Arial" w:cs="Arial"/>
          <w:color w:val="303030"/>
          <w:sz w:val="22"/>
          <w:szCs w:val="22"/>
          <w:lang w:bidi="ar-SA"/>
        </w:rPr>
      </w:pPr>
      <w:r w:rsidRPr="00876E50">
        <w:rPr>
          <w:rFonts w:ascii="Arial" w:eastAsia="Times New Roman" w:hAnsi="Arial" w:cs="Arial"/>
          <w:color w:val="303030"/>
          <w:sz w:val="22"/>
          <w:szCs w:val="22"/>
          <w:lang w:bidi="ar-SA"/>
        </w:rPr>
        <w:t>Their job would have been eliminated even if they had not been on FMLA (layoff, restructure, etc.).  Documentation to show the business reasons for this may be required if an employee files a claim.</w:t>
      </w:r>
    </w:p>
    <w:p w14:paraId="7570B9DA" w14:textId="77777777" w:rsidR="00876E50" w:rsidRPr="00876E50" w:rsidRDefault="00876E50" w:rsidP="00876E50">
      <w:pPr>
        <w:shd w:val="clear" w:color="auto" w:fill="FFFFFF"/>
        <w:spacing w:line="420" w:lineRule="atLeast"/>
        <w:rPr>
          <w:rFonts w:ascii="Arial" w:eastAsia="Times New Roman" w:hAnsi="Arial" w:cs="Arial"/>
          <w:color w:val="303030"/>
          <w:sz w:val="22"/>
          <w:szCs w:val="22"/>
          <w:lang w:bidi="ar-SA"/>
        </w:rPr>
      </w:pPr>
      <w:r w:rsidRPr="00876E50">
        <w:rPr>
          <w:rFonts w:ascii="Arial" w:eastAsia="Times New Roman" w:hAnsi="Arial" w:cs="Arial"/>
          <w:color w:val="303030"/>
          <w:sz w:val="22"/>
          <w:szCs w:val="22"/>
          <w:lang w:bidi="ar-SA"/>
        </w:rPr>
        <w:t xml:space="preserve">For more information on the FMLA and other HR issues, contact </w:t>
      </w:r>
      <w:proofErr w:type="spellStart"/>
      <w:r w:rsidRPr="00876E50">
        <w:rPr>
          <w:rFonts w:ascii="Arial" w:eastAsia="Times New Roman" w:hAnsi="Arial" w:cs="Arial"/>
          <w:color w:val="303030"/>
          <w:sz w:val="22"/>
          <w:szCs w:val="22"/>
          <w:lang w:bidi="ar-SA"/>
        </w:rPr>
        <w:t>Catpult's</w:t>
      </w:r>
      <w:proofErr w:type="spellEnd"/>
      <w:r w:rsidRPr="00876E50">
        <w:rPr>
          <w:rFonts w:ascii="Arial" w:eastAsia="Times New Roman" w:hAnsi="Arial" w:cs="Arial"/>
          <w:color w:val="303030"/>
          <w:sz w:val="22"/>
          <w:szCs w:val="22"/>
          <w:lang w:bidi="ar-SA"/>
        </w:rPr>
        <w:t xml:space="preserve"> Advice team at 919-878-</w:t>
      </w:r>
      <w:proofErr w:type="gramStart"/>
      <w:r w:rsidRPr="00876E50">
        <w:rPr>
          <w:rFonts w:ascii="Arial" w:eastAsia="Times New Roman" w:hAnsi="Arial" w:cs="Arial"/>
          <w:color w:val="303030"/>
          <w:sz w:val="22"/>
          <w:szCs w:val="22"/>
          <w:lang w:bidi="ar-SA"/>
        </w:rPr>
        <w:t>9222..</w:t>
      </w:r>
      <w:proofErr w:type="gramEnd"/>
    </w:p>
    <w:p w14:paraId="0AD2A6B6" w14:textId="6B45B991" w:rsidR="00461D9C" w:rsidRDefault="00243821" w:rsidP="003E573A"/>
    <w:p w14:paraId="02B257C6" w14:textId="77777777" w:rsidR="00243821" w:rsidRDefault="00243821" w:rsidP="00243821">
      <w:pPr>
        <w:shd w:val="clear" w:color="auto" w:fill="FFFFFF"/>
        <w:spacing w:line="420" w:lineRule="atLeast"/>
      </w:pPr>
      <w:r>
        <w:rPr>
          <w:rFonts w:ascii="Arial" w:eastAsia="Times New Roman" w:hAnsi="Arial" w:cs="Arial"/>
          <w:color w:val="303030"/>
          <w:sz w:val="22"/>
          <w:szCs w:val="22"/>
          <w:lang w:bidi="ar-SA"/>
        </w:rPr>
        <w:t>Written by a Catapult Advisor</w:t>
      </w:r>
    </w:p>
    <w:p w14:paraId="6CECCE9C" w14:textId="77777777" w:rsidR="00243821" w:rsidRPr="003E573A" w:rsidRDefault="00243821" w:rsidP="003E573A"/>
    <w:sectPr w:rsidR="00243821" w:rsidRPr="003E573A" w:rsidSect="00F72353">
      <w:headerReference w:type="even" r:id="rId11"/>
      <w:headerReference w:type="default" r:id="rId12"/>
      <w:foot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FD9A4" w14:textId="77777777" w:rsidR="00E303FD" w:rsidRDefault="00E303FD">
      <w:r>
        <w:separator/>
      </w:r>
    </w:p>
  </w:endnote>
  <w:endnote w:type="continuationSeparator" w:id="0">
    <w:p w14:paraId="7FD48B07" w14:textId="77777777" w:rsidR="00E303FD" w:rsidRDefault="00E3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D28C9C"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0FF7C" w14:textId="77777777" w:rsidR="00E303FD" w:rsidRDefault="00E303FD">
      <w:r>
        <w:separator/>
      </w:r>
    </w:p>
  </w:footnote>
  <w:footnote w:type="continuationSeparator" w:id="0">
    <w:p w14:paraId="6F550F8D" w14:textId="77777777" w:rsidR="00E303FD" w:rsidRDefault="00E30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243821">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C3BE68"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776C97"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9CF834"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243821">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F475C"/>
    <w:multiLevelType w:val="multilevel"/>
    <w:tmpl w:val="9618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17752"/>
    <w:multiLevelType w:val="hybridMultilevel"/>
    <w:tmpl w:val="9B301B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002A48"/>
    <w:multiLevelType w:val="multilevel"/>
    <w:tmpl w:val="7118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2"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num>
  <w:num w:numId="4">
    <w:abstractNumId w:val="21"/>
  </w:num>
  <w:num w:numId="5">
    <w:abstractNumId w:val="5"/>
  </w:num>
  <w:num w:numId="6">
    <w:abstractNumId w:val="3"/>
  </w:num>
  <w:num w:numId="7">
    <w:abstractNumId w:val="0"/>
  </w:num>
  <w:num w:numId="8">
    <w:abstractNumId w:val="4"/>
  </w:num>
  <w:num w:numId="9">
    <w:abstractNumId w:val="2"/>
  </w:num>
  <w:num w:numId="10">
    <w:abstractNumId w:val="10"/>
  </w:num>
  <w:num w:numId="11">
    <w:abstractNumId w:val="17"/>
  </w:num>
  <w:num w:numId="12">
    <w:abstractNumId w:val="15"/>
  </w:num>
  <w:num w:numId="13">
    <w:abstractNumId w:val="19"/>
  </w:num>
  <w:num w:numId="14">
    <w:abstractNumId w:val="6"/>
  </w:num>
  <w:num w:numId="15">
    <w:abstractNumId w:val="22"/>
  </w:num>
  <w:num w:numId="16">
    <w:abstractNumId w:val="18"/>
  </w:num>
  <w:num w:numId="17">
    <w:abstractNumId w:val="11"/>
  </w:num>
  <w:num w:numId="18">
    <w:abstractNumId w:val="14"/>
  </w:num>
  <w:num w:numId="19">
    <w:abstractNumId w:val="9"/>
  </w:num>
  <w:num w:numId="20">
    <w:abstractNumId w:val="1"/>
  </w:num>
  <w:num w:numId="21">
    <w:abstractNumId w:val="13"/>
  </w:num>
  <w:num w:numId="22">
    <w:abstractNumId w:val="12"/>
  </w:num>
  <w:num w:numId="23">
    <w:abstractNumId w:val="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66469"/>
    <w:rsid w:val="000F47F4"/>
    <w:rsid w:val="00163C29"/>
    <w:rsid w:val="001821AF"/>
    <w:rsid w:val="001D5F0A"/>
    <w:rsid w:val="002137AC"/>
    <w:rsid w:val="00243821"/>
    <w:rsid w:val="00290988"/>
    <w:rsid w:val="002C4ABA"/>
    <w:rsid w:val="003B2AE3"/>
    <w:rsid w:val="003E573A"/>
    <w:rsid w:val="00400629"/>
    <w:rsid w:val="0044286D"/>
    <w:rsid w:val="0047661F"/>
    <w:rsid w:val="004D6C9F"/>
    <w:rsid w:val="004F2E5E"/>
    <w:rsid w:val="005412B8"/>
    <w:rsid w:val="005759CC"/>
    <w:rsid w:val="00596823"/>
    <w:rsid w:val="005A1E1F"/>
    <w:rsid w:val="005A5A17"/>
    <w:rsid w:val="005B6C2D"/>
    <w:rsid w:val="00616E4A"/>
    <w:rsid w:val="00637770"/>
    <w:rsid w:val="006A767E"/>
    <w:rsid w:val="00745AC7"/>
    <w:rsid w:val="007945F7"/>
    <w:rsid w:val="007D4590"/>
    <w:rsid w:val="007E0C3E"/>
    <w:rsid w:val="007E42A3"/>
    <w:rsid w:val="007E5444"/>
    <w:rsid w:val="00835463"/>
    <w:rsid w:val="0084373E"/>
    <w:rsid w:val="008548D5"/>
    <w:rsid w:val="00876E50"/>
    <w:rsid w:val="00883111"/>
    <w:rsid w:val="00916B83"/>
    <w:rsid w:val="00933510"/>
    <w:rsid w:val="009559A8"/>
    <w:rsid w:val="009776EF"/>
    <w:rsid w:val="009B32AA"/>
    <w:rsid w:val="009E4AB5"/>
    <w:rsid w:val="00A11EAF"/>
    <w:rsid w:val="00A645C0"/>
    <w:rsid w:val="00A71264"/>
    <w:rsid w:val="00AE5D3D"/>
    <w:rsid w:val="00B26E6A"/>
    <w:rsid w:val="00B6291D"/>
    <w:rsid w:val="00B9123C"/>
    <w:rsid w:val="00BB0A73"/>
    <w:rsid w:val="00BE0299"/>
    <w:rsid w:val="00C25833"/>
    <w:rsid w:val="00CC2425"/>
    <w:rsid w:val="00D06DCD"/>
    <w:rsid w:val="00D07A79"/>
    <w:rsid w:val="00D957F4"/>
    <w:rsid w:val="00DF2211"/>
    <w:rsid w:val="00E22699"/>
    <w:rsid w:val="00E303FD"/>
    <w:rsid w:val="00E50642"/>
    <w:rsid w:val="00EC6134"/>
    <w:rsid w:val="00ED2BA7"/>
    <w:rsid w:val="00F72353"/>
    <w:rsid w:val="00F9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styleId="Strong">
    <w:name w:val="Strong"/>
    <w:basedOn w:val="DefaultParagraphFont"/>
    <w:uiPriority w:val="22"/>
    <w:qFormat/>
    <w:rsid w:val="00637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91709925">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125956018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499272396">
      <w:bodyDiv w:val="1"/>
      <w:marLeft w:val="0"/>
      <w:marRight w:val="0"/>
      <w:marTop w:val="0"/>
      <w:marBottom w:val="0"/>
      <w:divBdr>
        <w:top w:val="none" w:sz="0" w:space="0" w:color="auto"/>
        <w:left w:val="none" w:sz="0" w:space="0" w:color="auto"/>
        <w:bottom w:val="none" w:sz="0" w:space="0" w:color="auto"/>
        <w:right w:val="none" w:sz="0" w:space="0" w:color="auto"/>
      </w:divBdr>
    </w:div>
    <w:div w:id="199421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law.cornell.edu/cfr/text/29/825.30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E8D543-1E9B-4501-892A-6B2C05094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979218-E170-4FEC-95E2-F33C341C4F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Linda Hunter</cp:lastModifiedBy>
  <cp:revision>3</cp:revision>
  <dcterms:created xsi:type="dcterms:W3CDTF">2021-04-28T19:19:00Z</dcterms:created>
  <dcterms:modified xsi:type="dcterms:W3CDTF">2021-04-28T20:12:00Z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