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C15D" w14:textId="2361779A" w:rsidR="001512D2" w:rsidRPr="001512D2" w:rsidRDefault="001B4BE8" w:rsidP="001512D2">
      <w:pPr>
        <w:rPr>
          <w:b/>
          <w:bCs/>
          <w:color w:val="440056"/>
        </w:rPr>
      </w:pPr>
      <w:r w:rsidRPr="001B4BE8">
        <w:rPr>
          <w:b/>
          <w:bCs/>
          <w:color w:val="440056"/>
        </w:rPr>
        <w:t>Ask an HR Advisor: Travel Time</w:t>
      </w:r>
    </w:p>
    <w:p w14:paraId="1B4B42E7" w14:textId="77777777" w:rsidR="001512D2" w:rsidRDefault="001512D2" w:rsidP="001512D2">
      <w:pPr>
        <w:rPr>
          <w:b/>
          <w:bCs/>
          <w:color w:val="666666"/>
          <w:sz w:val="20"/>
          <w:szCs w:val="20"/>
        </w:rPr>
      </w:pPr>
    </w:p>
    <w:p w14:paraId="795A4C92" w14:textId="760A8C08" w:rsidR="001B4BE8" w:rsidRDefault="001B4BE8" w:rsidP="001B4BE8">
      <w:pPr>
        <w:rPr>
          <w:b/>
          <w:bCs/>
          <w:color w:val="666666"/>
          <w:sz w:val="20"/>
          <w:szCs w:val="20"/>
        </w:rPr>
      </w:pPr>
      <w:r w:rsidRPr="001B4BE8">
        <w:rPr>
          <w:b/>
          <w:bCs/>
          <w:color w:val="666666"/>
          <w:sz w:val="20"/>
          <w:szCs w:val="20"/>
        </w:rPr>
        <w:t>Q:  How does the DOL view travel time?</w:t>
      </w:r>
    </w:p>
    <w:p w14:paraId="0DAAFEED" w14:textId="77777777" w:rsidR="001B4BE8" w:rsidRPr="001B4BE8" w:rsidRDefault="001B4BE8" w:rsidP="001B4BE8">
      <w:pPr>
        <w:rPr>
          <w:b/>
          <w:bCs/>
          <w:color w:val="666666"/>
          <w:sz w:val="20"/>
          <w:szCs w:val="20"/>
        </w:rPr>
      </w:pPr>
    </w:p>
    <w:p w14:paraId="183879DF" w14:textId="740292DA" w:rsidR="001B4BE8" w:rsidRDefault="001B4BE8" w:rsidP="001B4BE8">
      <w:pPr>
        <w:rPr>
          <w:color w:val="666666"/>
          <w:sz w:val="20"/>
          <w:szCs w:val="20"/>
        </w:rPr>
      </w:pPr>
      <w:r w:rsidRPr="001B4BE8">
        <w:rPr>
          <w:b/>
          <w:bCs/>
          <w:color w:val="666666"/>
          <w:sz w:val="20"/>
          <w:szCs w:val="20"/>
        </w:rPr>
        <w:t>A:  </w:t>
      </w:r>
      <w:r w:rsidRPr="001B4BE8">
        <w:rPr>
          <w:color w:val="666666"/>
          <w:sz w:val="20"/>
          <w:szCs w:val="20"/>
        </w:rPr>
        <w:t>In general, time spent traveling </w:t>
      </w:r>
      <w:r w:rsidRPr="001B4BE8">
        <w:rPr>
          <w:color w:val="666666"/>
          <w:sz w:val="20"/>
          <w:szCs w:val="20"/>
          <w:u w:val="single"/>
        </w:rPr>
        <w:t>during normal work hours</w:t>
      </w:r>
      <w:r w:rsidRPr="001B4BE8">
        <w:rPr>
          <w:color w:val="666666"/>
          <w:sz w:val="20"/>
          <w:szCs w:val="20"/>
        </w:rPr>
        <w:t> </w:t>
      </w:r>
      <w:r w:rsidRPr="001B4BE8">
        <w:rPr>
          <w:b/>
          <w:bCs/>
          <w:color w:val="666666"/>
          <w:sz w:val="20"/>
          <w:szCs w:val="20"/>
        </w:rPr>
        <w:t>IS</w:t>
      </w:r>
      <w:r w:rsidRPr="001B4BE8">
        <w:rPr>
          <w:color w:val="666666"/>
          <w:sz w:val="20"/>
          <w:szCs w:val="20"/>
        </w:rPr>
        <w:t> considered compensable; so, for example, if the employee travels from one job site to another during their normal work hours, the employer is responsible for paying wages during those hours. Time spent traveling from </w:t>
      </w:r>
      <w:r w:rsidRPr="001B4BE8">
        <w:rPr>
          <w:color w:val="666666"/>
          <w:sz w:val="20"/>
          <w:szCs w:val="20"/>
          <w:u w:val="single"/>
        </w:rPr>
        <w:t>home to work</w:t>
      </w:r>
      <w:r w:rsidRPr="001B4BE8">
        <w:rPr>
          <w:color w:val="666666"/>
          <w:sz w:val="20"/>
          <w:szCs w:val="20"/>
        </w:rPr>
        <w:t>, even if in a company vehicle, is generally not considered compensable.  However, this applies only if the travel is to the employee’s </w:t>
      </w:r>
      <w:r w:rsidRPr="001B4BE8">
        <w:rPr>
          <w:color w:val="666666"/>
          <w:sz w:val="20"/>
          <w:szCs w:val="20"/>
          <w:u w:val="single"/>
        </w:rPr>
        <w:t>usual workplace</w:t>
      </w:r>
      <w:r w:rsidRPr="001B4BE8">
        <w:rPr>
          <w:color w:val="666666"/>
          <w:sz w:val="20"/>
          <w:szCs w:val="20"/>
        </w:rPr>
        <w:t xml:space="preserve">; if they </w:t>
      </w:r>
      <w:proofErr w:type="gramStart"/>
      <w:r w:rsidRPr="001B4BE8">
        <w:rPr>
          <w:color w:val="666666"/>
          <w:sz w:val="20"/>
          <w:szCs w:val="20"/>
        </w:rPr>
        <w:t>have to</w:t>
      </w:r>
      <w:proofErr w:type="gramEnd"/>
      <w:r w:rsidRPr="001B4BE8">
        <w:rPr>
          <w:color w:val="666666"/>
          <w:sz w:val="20"/>
          <w:szCs w:val="20"/>
        </w:rPr>
        <w:t xml:space="preserve"> travel outside their normal commuting area, other rules apply depending on if the travel is a special one-day assignment in another city or if the travel is away from the employee’s home community.</w:t>
      </w:r>
    </w:p>
    <w:p w14:paraId="21C89D59" w14:textId="77777777" w:rsidR="001B4BE8" w:rsidRPr="001B4BE8" w:rsidRDefault="001B4BE8" w:rsidP="001B4BE8">
      <w:pPr>
        <w:rPr>
          <w:color w:val="666666"/>
          <w:sz w:val="20"/>
          <w:szCs w:val="20"/>
        </w:rPr>
      </w:pPr>
    </w:p>
    <w:p w14:paraId="49A82B2A" w14:textId="77777777" w:rsidR="001B4BE8" w:rsidRPr="001B4BE8" w:rsidRDefault="001B4BE8" w:rsidP="001B4BE8">
      <w:pPr>
        <w:rPr>
          <w:color w:val="666666"/>
          <w:sz w:val="20"/>
          <w:szCs w:val="20"/>
        </w:rPr>
      </w:pPr>
      <w:r w:rsidRPr="001B4BE8">
        <w:rPr>
          <w:b/>
          <w:bCs/>
          <w:color w:val="666666"/>
          <w:sz w:val="20"/>
          <w:szCs w:val="20"/>
        </w:rPr>
        <w:t>Home to Work on a Special One-Day Assignment in Another City:</w:t>
      </w:r>
    </w:p>
    <w:p w14:paraId="538CCB37" w14:textId="28492564" w:rsidR="001B4BE8" w:rsidRDefault="001B4BE8" w:rsidP="001B4BE8">
      <w:pPr>
        <w:rPr>
          <w:color w:val="666666"/>
          <w:sz w:val="20"/>
          <w:szCs w:val="20"/>
        </w:rPr>
      </w:pPr>
      <w:r w:rsidRPr="001B4BE8">
        <w:rPr>
          <w:color w:val="666666"/>
          <w:sz w:val="20"/>
          <w:szCs w:val="20"/>
        </w:rPr>
        <w:t>An employee who regularly works at a fixed location in one city is given a special one-day assignment in another city and returns home the same day. The time spent in traveling to and returning from the other city is work time, except that the employer may deduct/not count that time the employee would normally spend commuting to the regular work site.</w:t>
      </w:r>
    </w:p>
    <w:p w14:paraId="192C40CD" w14:textId="77777777" w:rsidR="001B4BE8" w:rsidRPr="001B4BE8" w:rsidRDefault="001B4BE8" w:rsidP="001B4BE8">
      <w:pPr>
        <w:rPr>
          <w:color w:val="666666"/>
          <w:sz w:val="20"/>
          <w:szCs w:val="20"/>
        </w:rPr>
      </w:pPr>
    </w:p>
    <w:p w14:paraId="5B5CD877" w14:textId="77777777" w:rsidR="001B4BE8" w:rsidRPr="001B4BE8" w:rsidRDefault="001B4BE8" w:rsidP="001B4BE8">
      <w:pPr>
        <w:rPr>
          <w:color w:val="666666"/>
          <w:sz w:val="20"/>
          <w:szCs w:val="20"/>
        </w:rPr>
      </w:pPr>
      <w:r w:rsidRPr="001B4BE8">
        <w:rPr>
          <w:b/>
          <w:bCs/>
          <w:color w:val="666666"/>
          <w:sz w:val="20"/>
          <w:szCs w:val="20"/>
        </w:rPr>
        <w:t>Travel Away from Home Community:</w:t>
      </w:r>
    </w:p>
    <w:p w14:paraId="13E9451E" w14:textId="51BEB949" w:rsidR="001B4BE8" w:rsidRDefault="001B4BE8" w:rsidP="001B4BE8">
      <w:pPr>
        <w:rPr>
          <w:color w:val="666666"/>
          <w:sz w:val="20"/>
          <w:szCs w:val="20"/>
        </w:rPr>
      </w:pPr>
      <w:r w:rsidRPr="001B4BE8">
        <w:rPr>
          <w:color w:val="666666"/>
          <w:sz w:val="20"/>
          <w:szCs w:val="20"/>
        </w:rPr>
        <w:t>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As an enforcement policy the Division will not consider as work time that time spent in travel away from home outside of regular working hours as a passenger on an airplane, train, boat, bus, or automobile.</w:t>
      </w:r>
    </w:p>
    <w:p w14:paraId="1CD703EF" w14:textId="77777777" w:rsidR="001B4BE8" w:rsidRPr="001B4BE8" w:rsidRDefault="001B4BE8" w:rsidP="001B4BE8">
      <w:pPr>
        <w:rPr>
          <w:color w:val="666666"/>
          <w:sz w:val="20"/>
          <w:szCs w:val="20"/>
        </w:rPr>
      </w:pPr>
    </w:p>
    <w:p w14:paraId="770D5B59" w14:textId="77777777" w:rsidR="001B4BE8" w:rsidRPr="001B4BE8" w:rsidRDefault="001B4BE8" w:rsidP="001B4BE8">
      <w:pPr>
        <w:rPr>
          <w:b/>
          <w:bCs/>
          <w:color w:val="666666"/>
          <w:sz w:val="20"/>
          <w:szCs w:val="20"/>
        </w:rPr>
      </w:pPr>
      <w:r w:rsidRPr="001B4BE8">
        <w:rPr>
          <w:b/>
          <w:bCs/>
          <w:color w:val="666666"/>
          <w:sz w:val="20"/>
          <w:szCs w:val="20"/>
        </w:rPr>
        <w:t>A recent DOL Opinion Letter explored a few scenarios and emphasized:</w:t>
      </w:r>
    </w:p>
    <w:p w14:paraId="56766229" w14:textId="77777777" w:rsidR="001B4BE8" w:rsidRPr="001B4BE8" w:rsidRDefault="001B4BE8" w:rsidP="001B4BE8">
      <w:pPr>
        <w:numPr>
          <w:ilvl w:val="0"/>
          <w:numId w:val="38"/>
        </w:numPr>
        <w:rPr>
          <w:color w:val="666666"/>
          <w:sz w:val="20"/>
          <w:szCs w:val="20"/>
        </w:rPr>
      </w:pPr>
      <w:r w:rsidRPr="001B4BE8">
        <w:rPr>
          <w:color w:val="666666"/>
          <w:sz w:val="20"/>
          <w:szCs w:val="20"/>
        </w:rPr>
        <w:t>If an employer requires that employees report to the office first (a central location) and then go to job sites, then the time spent traveling to those job sites </w:t>
      </w:r>
      <w:r w:rsidRPr="001B4BE8">
        <w:rPr>
          <w:b/>
          <w:bCs/>
          <w:color w:val="666666"/>
          <w:sz w:val="20"/>
          <w:szCs w:val="20"/>
        </w:rPr>
        <w:t>IS</w:t>
      </w:r>
      <w:r w:rsidRPr="001B4BE8">
        <w:rPr>
          <w:color w:val="666666"/>
          <w:sz w:val="20"/>
          <w:szCs w:val="20"/>
        </w:rPr>
        <w:t> compensable.  This is true whether the travel is local or outside the normal employer’s area. The time the employee spent traveling from home to the office </w:t>
      </w:r>
      <w:r w:rsidRPr="001B4BE8">
        <w:rPr>
          <w:b/>
          <w:bCs/>
          <w:color w:val="666666"/>
          <w:sz w:val="20"/>
          <w:szCs w:val="20"/>
        </w:rPr>
        <w:t>is not</w:t>
      </w:r>
      <w:r w:rsidRPr="001B4BE8">
        <w:rPr>
          <w:color w:val="666666"/>
          <w:sz w:val="20"/>
          <w:szCs w:val="20"/>
        </w:rPr>
        <w:t> compensable. </w:t>
      </w:r>
    </w:p>
    <w:p w14:paraId="16A0B06A" w14:textId="77777777" w:rsidR="001B4BE8" w:rsidRPr="001B4BE8" w:rsidRDefault="001B4BE8" w:rsidP="001B4BE8">
      <w:pPr>
        <w:numPr>
          <w:ilvl w:val="0"/>
          <w:numId w:val="38"/>
        </w:numPr>
        <w:rPr>
          <w:color w:val="666666"/>
          <w:sz w:val="20"/>
          <w:szCs w:val="20"/>
        </w:rPr>
      </w:pPr>
      <w:r w:rsidRPr="001B4BE8">
        <w:rPr>
          <w:color w:val="666666"/>
          <w:sz w:val="20"/>
          <w:szCs w:val="20"/>
        </w:rPr>
        <w:t>If an employee chooses to travel on their own to the job site, the time may (or may not) be compensable.  The key is determining if the activity is “integral and indispensable to the principal activity the employee is to perform.”</w:t>
      </w:r>
    </w:p>
    <w:p w14:paraId="2D9C8D1A" w14:textId="77777777" w:rsidR="001B4BE8" w:rsidRPr="001B4BE8" w:rsidRDefault="001B4BE8" w:rsidP="001B4BE8">
      <w:pPr>
        <w:rPr>
          <w:color w:val="666666"/>
          <w:sz w:val="20"/>
          <w:szCs w:val="20"/>
        </w:rPr>
      </w:pPr>
      <w:r w:rsidRPr="001B4BE8">
        <w:rPr>
          <w:color w:val="666666"/>
          <w:sz w:val="20"/>
          <w:szCs w:val="20"/>
        </w:rPr>
        <w:t> </w:t>
      </w:r>
    </w:p>
    <w:p w14:paraId="6380ACC0" w14:textId="69DDF9EE" w:rsidR="001512D2" w:rsidRPr="001512D2" w:rsidRDefault="001512D2" w:rsidP="001B4BE8">
      <w:pPr>
        <w:rPr>
          <w:color w:val="666666"/>
          <w:sz w:val="20"/>
          <w:szCs w:val="20"/>
        </w:rPr>
      </w:pPr>
    </w:p>
    <w:p w14:paraId="0DC4F476" w14:textId="7459EAA5" w:rsidR="008A5592" w:rsidRPr="001512D2" w:rsidRDefault="005F22E7" w:rsidP="008A5592">
      <w:pPr>
        <w:rPr>
          <w:color w:val="666666"/>
          <w:sz w:val="20"/>
          <w:szCs w:val="20"/>
        </w:rPr>
      </w:pPr>
      <w:r>
        <w:rPr>
          <w:color w:val="666666"/>
          <w:sz w:val="20"/>
          <w:szCs w:val="20"/>
        </w:rPr>
        <w:t>Written by a Catapult Advisor.</w:t>
      </w:r>
    </w:p>
    <w:p w14:paraId="57E31E65" w14:textId="77777777" w:rsidR="008A5592" w:rsidRPr="00933510" w:rsidRDefault="008A5592" w:rsidP="008A5592">
      <w:pPr>
        <w:rPr>
          <w:color w:val="666666"/>
          <w:sz w:val="20"/>
          <w:szCs w:val="20"/>
        </w:rPr>
      </w:pPr>
      <w:r w:rsidRPr="00933510">
        <w:rPr>
          <w:color w:val="666666"/>
          <w:sz w:val="20"/>
          <w:szCs w:val="20"/>
        </w:rPr>
        <w:t xml:space="preserve"> </w:t>
      </w:r>
    </w:p>
    <w:p w14:paraId="3F11E621" w14:textId="77777777" w:rsidR="008A5592" w:rsidRPr="00933510" w:rsidRDefault="008A5592" w:rsidP="008A5592">
      <w:pPr>
        <w:rPr>
          <w:sz w:val="20"/>
          <w:szCs w:val="20"/>
        </w:rPr>
      </w:pPr>
    </w:p>
    <w:p w14:paraId="0AD2A6B6" w14:textId="77777777" w:rsidR="00461D9C" w:rsidRPr="008A5592" w:rsidRDefault="005F01A8" w:rsidP="008A5592"/>
    <w:sectPr w:rsidR="00461D9C" w:rsidRPr="008A5592"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1F73" w14:textId="77777777" w:rsidR="005F01A8" w:rsidRDefault="005F01A8">
      <w:r>
        <w:separator/>
      </w:r>
    </w:p>
  </w:endnote>
  <w:endnote w:type="continuationSeparator" w:id="0">
    <w:p w14:paraId="3DDE4145" w14:textId="77777777" w:rsidR="005F01A8" w:rsidRDefault="005F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47E6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1ABA" w14:textId="77777777" w:rsidR="005F01A8" w:rsidRDefault="005F01A8">
      <w:r>
        <w:separator/>
      </w:r>
    </w:p>
  </w:footnote>
  <w:footnote w:type="continuationSeparator" w:id="0">
    <w:p w14:paraId="65095233" w14:textId="77777777" w:rsidR="005F01A8" w:rsidRDefault="005F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F01A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11E6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9E50F"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E54B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F01A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37"/>
    <w:multiLevelType w:val="multilevel"/>
    <w:tmpl w:val="E79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D3A"/>
    <w:multiLevelType w:val="multilevel"/>
    <w:tmpl w:val="54781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046FC"/>
    <w:multiLevelType w:val="multilevel"/>
    <w:tmpl w:val="F38E3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B735C"/>
    <w:multiLevelType w:val="hybridMultilevel"/>
    <w:tmpl w:val="CDBC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E10E1"/>
    <w:multiLevelType w:val="multilevel"/>
    <w:tmpl w:val="171A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630F5"/>
    <w:multiLevelType w:val="multilevel"/>
    <w:tmpl w:val="CB808C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E68EA"/>
    <w:multiLevelType w:val="multilevel"/>
    <w:tmpl w:val="5D005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D0861"/>
    <w:multiLevelType w:val="multilevel"/>
    <w:tmpl w:val="305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63076"/>
    <w:multiLevelType w:val="multilevel"/>
    <w:tmpl w:val="9D2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04C98"/>
    <w:multiLevelType w:val="multilevel"/>
    <w:tmpl w:val="57108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7E08"/>
    <w:multiLevelType w:val="multilevel"/>
    <w:tmpl w:val="8E84D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B0528"/>
    <w:multiLevelType w:val="multilevel"/>
    <w:tmpl w:val="172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72178"/>
    <w:multiLevelType w:val="multilevel"/>
    <w:tmpl w:val="5C4C2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00043"/>
    <w:multiLevelType w:val="hybridMultilevel"/>
    <w:tmpl w:val="518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44555"/>
    <w:multiLevelType w:val="multilevel"/>
    <w:tmpl w:val="23247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33"/>
  </w:num>
  <w:num w:numId="5">
    <w:abstractNumId w:val="8"/>
  </w:num>
  <w:num w:numId="6">
    <w:abstractNumId w:val="6"/>
  </w:num>
  <w:num w:numId="7">
    <w:abstractNumId w:val="1"/>
  </w:num>
  <w:num w:numId="8">
    <w:abstractNumId w:val="7"/>
  </w:num>
  <w:num w:numId="9">
    <w:abstractNumId w:val="5"/>
  </w:num>
  <w:num w:numId="10">
    <w:abstractNumId w:val="15"/>
  </w:num>
  <w:num w:numId="11">
    <w:abstractNumId w:val="24"/>
  </w:num>
  <w:num w:numId="12">
    <w:abstractNumId w:val="19"/>
  </w:num>
  <w:num w:numId="13">
    <w:abstractNumId w:val="29"/>
  </w:num>
  <w:num w:numId="14">
    <w:abstractNumId w:val="10"/>
  </w:num>
  <w:num w:numId="15">
    <w:abstractNumId w:val="34"/>
  </w:num>
  <w:num w:numId="16">
    <w:abstractNumId w:val="26"/>
  </w:num>
  <w:num w:numId="17">
    <w:abstractNumId w:val="16"/>
  </w:num>
  <w:num w:numId="18">
    <w:abstractNumId w:val="18"/>
  </w:num>
  <w:num w:numId="19">
    <w:abstractNumId w:val="13"/>
  </w:num>
  <w:num w:numId="20">
    <w:abstractNumId w:val="2"/>
  </w:num>
  <w:num w:numId="21">
    <w:abstractNumId w:val="17"/>
  </w:num>
  <w:num w:numId="22">
    <w:abstractNumId w:val="30"/>
  </w:num>
  <w:num w:numId="23">
    <w:abstractNumId w:val="28"/>
  </w:num>
  <w:num w:numId="24">
    <w:abstractNumId w:val="35"/>
  </w:num>
  <w:num w:numId="25">
    <w:abstractNumId w:val="0"/>
  </w:num>
  <w:num w:numId="26">
    <w:abstractNumId w:val="12"/>
  </w:num>
  <w:num w:numId="27">
    <w:abstractNumId w:val="3"/>
  </w:num>
  <w:num w:numId="28">
    <w:abstractNumId w:val="32"/>
  </w:num>
  <w:num w:numId="29">
    <w:abstractNumId w:val="36"/>
  </w:num>
  <w:num w:numId="30">
    <w:abstractNumId w:val="14"/>
  </w:num>
  <w:num w:numId="31">
    <w:abstractNumId w:val="20"/>
  </w:num>
  <w:num w:numId="32">
    <w:abstractNumId w:val="21"/>
  </w:num>
  <w:num w:numId="33">
    <w:abstractNumId w:val="9"/>
  </w:num>
  <w:num w:numId="34">
    <w:abstractNumId w:val="4"/>
  </w:num>
  <w:num w:numId="35">
    <w:abstractNumId w:val="25"/>
  </w:num>
  <w:num w:numId="36">
    <w:abstractNumId w:val="31"/>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27E57"/>
    <w:rsid w:val="0003016C"/>
    <w:rsid w:val="000A0B2D"/>
    <w:rsid w:val="000A4E27"/>
    <w:rsid w:val="000A7227"/>
    <w:rsid w:val="00140C70"/>
    <w:rsid w:val="001512D2"/>
    <w:rsid w:val="00163C29"/>
    <w:rsid w:val="001821AF"/>
    <w:rsid w:val="00190209"/>
    <w:rsid w:val="001A24DE"/>
    <w:rsid w:val="001B4BE8"/>
    <w:rsid w:val="001C0B5D"/>
    <w:rsid w:val="002137AC"/>
    <w:rsid w:val="00232225"/>
    <w:rsid w:val="00240991"/>
    <w:rsid w:val="00267C9E"/>
    <w:rsid w:val="00290988"/>
    <w:rsid w:val="00301755"/>
    <w:rsid w:val="003032B2"/>
    <w:rsid w:val="00340F57"/>
    <w:rsid w:val="00342811"/>
    <w:rsid w:val="00345ECE"/>
    <w:rsid w:val="003B2AE3"/>
    <w:rsid w:val="00400629"/>
    <w:rsid w:val="0044286D"/>
    <w:rsid w:val="0047661F"/>
    <w:rsid w:val="00495685"/>
    <w:rsid w:val="004C1A9B"/>
    <w:rsid w:val="004D6C9F"/>
    <w:rsid w:val="004F2E5E"/>
    <w:rsid w:val="005412B8"/>
    <w:rsid w:val="00542E5D"/>
    <w:rsid w:val="00543BFC"/>
    <w:rsid w:val="00574387"/>
    <w:rsid w:val="00596823"/>
    <w:rsid w:val="005A1E1F"/>
    <w:rsid w:val="005A5A17"/>
    <w:rsid w:val="005B6C2D"/>
    <w:rsid w:val="005D4F11"/>
    <w:rsid w:val="005E07A4"/>
    <w:rsid w:val="005F01A8"/>
    <w:rsid w:val="005F1FBA"/>
    <w:rsid w:val="005F22E7"/>
    <w:rsid w:val="00616E4A"/>
    <w:rsid w:val="00625A4A"/>
    <w:rsid w:val="006A5412"/>
    <w:rsid w:val="006A767E"/>
    <w:rsid w:val="006F6BD2"/>
    <w:rsid w:val="0070440D"/>
    <w:rsid w:val="007223A1"/>
    <w:rsid w:val="00725BDD"/>
    <w:rsid w:val="00745AC7"/>
    <w:rsid w:val="0075467F"/>
    <w:rsid w:val="007636F6"/>
    <w:rsid w:val="007918C8"/>
    <w:rsid w:val="007945F7"/>
    <w:rsid w:val="00795A1E"/>
    <w:rsid w:val="007C0702"/>
    <w:rsid w:val="007E0C3E"/>
    <w:rsid w:val="007E42A3"/>
    <w:rsid w:val="0084373E"/>
    <w:rsid w:val="008548D5"/>
    <w:rsid w:val="00854AED"/>
    <w:rsid w:val="00857111"/>
    <w:rsid w:val="00867111"/>
    <w:rsid w:val="00883111"/>
    <w:rsid w:val="00895049"/>
    <w:rsid w:val="008950E6"/>
    <w:rsid w:val="008A5592"/>
    <w:rsid w:val="00930354"/>
    <w:rsid w:val="00932E71"/>
    <w:rsid w:val="00933510"/>
    <w:rsid w:val="009543ED"/>
    <w:rsid w:val="009559A8"/>
    <w:rsid w:val="00971447"/>
    <w:rsid w:val="009776EF"/>
    <w:rsid w:val="009B32AA"/>
    <w:rsid w:val="009B39B2"/>
    <w:rsid w:val="009C4152"/>
    <w:rsid w:val="009E4AB5"/>
    <w:rsid w:val="009F224C"/>
    <w:rsid w:val="00A0499C"/>
    <w:rsid w:val="00A11EAF"/>
    <w:rsid w:val="00A4295E"/>
    <w:rsid w:val="00A645C0"/>
    <w:rsid w:val="00A71264"/>
    <w:rsid w:val="00AE5D3D"/>
    <w:rsid w:val="00B26E6A"/>
    <w:rsid w:val="00B45812"/>
    <w:rsid w:val="00B6291D"/>
    <w:rsid w:val="00B9123C"/>
    <w:rsid w:val="00BA4F5C"/>
    <w:rsid w:val="00BB0A73"/>
    <w:rsid w:val="00BE0299"/>
    <w:rsid w:val="00C25833"/>
    <w:rsid w:val="00C46000"/>
    <w:rsid w:val="00CA033A"/>
    <w:rsid w:val="00CA41A0"/>
    <w:rsid w:val="00CB4ED9"/>
    <w:rsid w:val="00CC2425"/>
    <w:rsid w:val="00CC2BBF"/>
    <w:rsid w:val="00D06DCD"/>
    <w:rsid w:val="00D07A79"/>
    <w:rsid w:val="00D957F4"/>
    <w:rsid w:val="00D97354"/>
    <w:rsid w:val="00E215EC"/>
    <w:rsid w:val="00E31030"/>
    <w:rsid w:val="00E50642"/>
    <w:rsid w:val="00E51DFF"/>
    <w:rsid w:val="00E86856"/>
    <w:rsid w:val="00E93715"/>
    <w:rsid w:val="00EA4482"/>
    <w:rsid w:val="00EC6134"/>
    <w:rsid w:val="00ED2BA7"/>
    <w:rsid w:val="00EF6625"/>
    <w:rsid w:val="00F31FEC"/>
    <w:rsid w:val="00F60351"/>
    <w:rsid w:val="00F72353"/>
    <w:rsid w:val="00F925D1"/>
    <w:rsid w:val="00FA3516"/>
    <w:rsid w:val="00FC396B"/>
    <w:rsid w:val="00FE1036"/>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09"/>
    <w:rPr>
      <w:rFonts w:cs="Times New Roman"/>
      <w:lang w:bidi="en-US"/>
    </w:rPr>
  </w:style>
  <w:style w:type="paragraph" w:styleId="Heading1">
    <w:name w:val="heading 1"/>
    <w:basedOn w:val="Normal"/>
    <w:next w:val="Normal"/>
    <w:link w:val="Heading1Char"/>
    <w:uiPriority w:val="9"/>
    <w:qFormat/>
    <w:rsid w:val="001B4B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1B4BE8"/>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17704049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22070555">
      <w:bodyDiv w:val="1"/>
      <w:marLeft w:val="0"/>
      <w:marRight w:val="0"/>
      <w:marTop w:val="0"/>
      <w:marBottom w:val="0"/>
      <w:divBdr>
        <w:top w:val="none" w:sz="0" w:space="0" w:color="auto"/>
        <w:left w:val="none" w:sz="0" w:space="0" w:color="auto"/>
        <w:bottom w:val="none" w:sz="0" w:space="0" w:color="auto"/>
        <w:right w:val="none" w:sz="0" w:space="0" w:color="auto"/>
      </w:divBdr>
      <w:divsChild>
        <w:div w:id="1410494097">
          <w:marLeft w:val="0"/>
          <w:marRight w:val="0"/>
          <w:marTop w:val="0"/>
          <w:marBottom w:val="0"/>
          <w:divBdr>
            <w:top w:val="none" w:sz="0" w:space="0" w:color="auto"/>
            <w:left w:val="none" w:sz="0" w:space="0" w:color="auto"/>
            <w:bottom w:val="none" w:sz="0" w:space="0" w:color="auto"/>
            <w:right w:val="none" w:sz="0" w:space="0" w:color="auto"/>
          </w:divBdr>
          <w:divsChild>
            <w:div w:id="1890533439">
              <w:marLeft w:val="0"/>
              <w:marRight w:val="0"/>
              <w:marTop w:val="0"/>
              <w:marBottom w:val="0"/>
              <w:divBdr>
                <w:top w:val="none" w:sz="0" w:space="0" w:color="auto"/>
                <w:left w:val="none" w:sz="0" w:space="0" w:color="auto"/>
                <w:bottom w:val="none" w:sz="0" w:space="0" w:color="auto"/>
                <w:right w:val="none" w:sz="0" w:space="0" w:color="auto"/>
              </w:divBdr>
              <w:divsChild>
                <w:div w:id="515073668">
                  <w:marLeft w:val="0"/>
                  <w:marRight w:val="0"/>
                  <w:marTop w:val="0"/>
                  <w:marBottom w:val="0"/>
                  <w:divBdr>
                    <w:top w:val="none" w:sz="0" w:space="0" w:color="auto"/>
                    <w:left w:val="none" w:sz="0" w:space="0" w:color="auto"/>
                    <w:bottom w:val="none" w:sz="0" w:space="0" w:color="auto"/>
                    <w:right w:val="none" w:sz="0" w:space="0" w:color="auto"/>
                  </w:divBdr>
                  <w:divsChild>
                    <w:div w:id="2105026870">
                      <w:marLeft w:val="0"/>
                      <w:marRight w:val="0"/>
                      <w:marTop w:val="0"/>
                      <w:marBottom w:val="0"/>
                      <w:divBdr>
                        <w:top w:val="none" w:sz="0" w:space="0" w:color="auto"/>
                        <w:left w:val="none" w:sz="0" w:space="0" w:color="auto"/>
                        <w:bottom w:val="none" w:sz="0" w:space="0" w:color="auto"/>
                        <w:right w:val="none" w:sz="0" w:space="0" w:color="auto"/>
                      </w:divBdr>
                      <w:divsChild>
                        <w:div w:id="13659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51751">
          <w:marLeft w:val="0"/>
          <w:marRight w:val="0"/>
          <w:marTop w:val="0"/>
          <w:marBottom w:val="0"/>
          <w:divBdr>
            <w:top w:val="none" w:sz="0" w:space="0" w:color="auto"/>
            <w:left w:val="none" w:sz="0" w:space="0" w:color="auto"/>
            <w:bottom w:val="single" w:sz="6" w:space="0" w:color="CCCCCC"/>
            <w:right w:val="none" w:sz="0" w:space="0" w:color="auto"/>
          </w:divBdr>
        </w:div>
      </w:divsChild>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630014687">
      <w:bodyDiv w:val="1"/>
      <w:marLeft w:val="0"/>
      <w:marRight w:val="0"/>
      <w:marTop w:val="0"/>
      <w:marBottom w:val="0"/>
      <w:divBdr>
        <w:top w:val="none" w:sz="0" w:space="0" w:color="auto"/>
        <w:left w:val="none" w:sz="0" w:space="0" w:color="auto"/>
        <w:bottom w:val="none" w:sz="0" w:space="0" w:color="auto"/>
        <w:right w:val="none" w:sz="0" w:space="0" w:color="auto"/>
      </w:divBdr>
    </w:div>
    <w:div w:id="887716391">
      <w:bodyDiv w:val="1"/>
      <w:marLeft w:val="0"/>
      <w:marRight w:val="0"/>
      <w:marTop w:val="0"/>
      <w:marBottom w:val="0"/>
      <w:divBdr>
        <w:top w:val="none" w:sz="0" w:space="0" w:color="auto"/>
        <w:left w:val="none" w:sz="0" w:space="0" w:color="auto"/>
        <w:bottom w:val="none" w:sz="0" w:space="0" w:color="auto"/>
        <w:right w:val="none" w:sz="0" w:space="0" w:color="auto"/>
      </w:divBdr>
    </w:div>
    <w:div w:id="111864623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577713743">
      <w:bodyDiv w:val="1"/>
      <w:marLeft w:val="0"/>
      <w:marRight w:val="0"/>
      <w:marTop w:val="0"/>
      <w:marBottom w:val="0"/>
      <w:divBdr>
        <w:top w:val="none" w:sz="0" w:space="0" w:color="auto"/>
        <w:left w:val="none" w:sz="0" w:space="0" w:color="auto"/>
        <w:bottom w:val="none" w:sz="0" w:space="0" w:color="auto"/>
        <w:right w:val="none" w:sz="0" w:space="0" w:color="auto"/>
      </w:divBdr>
      <w:divsChild>
        <w:div w:id="423692242">
          <w:marLeft w:val="0"/>
          <w:marRight w:val="0"/>
          <w:marTop w:val="0"/>
          <w:marBottom w:val="0"/>
          <w:divBdr>
            <w:top w:val="none" w:sz="0" w:space="0" w:color="auto"/>
            <w:left w:val="none" w:sz="0" w:space="0" w:color="auto"/>
            <w:bottom w:val="none" w:sz="0" w:space="0" w:color="auto"/>
            <w:right w:val="none" w:sz="0" w:space="0" w:color="auto"/>
          </w:divBdr>
          <w:divsChild>
            <w:div w:id="1095201914">
              <w:marLeft w:val="0"/>
              <w:marRight w:val="0"/>
              <w:marTop w:val="0"/>
              <w:marBottom w:val="0"/>
              <w:divBdr>
                <w:top w:val="none" w:sz="0" w:space="0" w:color="auto"/>
                <w:left w:val="none" w:sz="0" w:space="0" w:color="auto"/>
                <w:bottom w:val="none" w:sz="0" w:space="0" w:color="auto"/>
                <w:right w:val="none" w:sz="0" w:space="0" w:color="auto"/>
              </w:divBdr>
              <w:divsChild>
                <w:div w:id="253784938">
                  <w:marLeft w:val="0"/>
                  <w:marRight w:val="0"/>
                  <w:marTop w:val="0"/>
                  <w:marBottom w:val="0"/>
                  <w:divBdr>
                    <w:top w:val="none" w:sz="0" w:space="0" w:color="auto"/>
                    <w:left w:val="none" w:sz="0" w:space="0" w:color="auto"/>
                    <w:bottom w:val="none" w:sz="0" w:space="0" w:color="auto"/>
                    <w:right w:val="none" w:sz="0" w:space="0" w:color="auto"/>
                  </w:divBdr>
                  <w:divsChild>
                    <w:div w:id="577176323">
                      <w:marLeft w:val="0"/>
                      <w:marRight w:val="0"/>
                      <w:marTop w:val="0"/>
                      <w:marBottom w:val="0"/>
                      <w:divBdr>
                        <w:top w:val="none" w:sz="0" w:space="0" w:color="auto"/>
                        <w:left w:val="none" w:sz="0" w:space="0" w:color="auto"/>
                        <w:bottom w:val="none" w:sz="0" w:space="0" w:color="auto"/>
                        <w:right w:val="none" w:sz="0" w:space="0" w:color="auto"/>
                      </w:divBdr>
                      <w:divsChild>
                        <w:div w:id="725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4555">
          <w:marLeft w:val="0"/>
          <w:marRight w:val="0"/>
          <w:marTop w:val="0"/>
          <w:marBottom w:val="0"/>
          <w:divBdr>
            <w:top w:val="none" w:sz="0" w:space="0" w:color="auto"/>
            <w:left w:val="none" w:sz="0" w:space="0" w:color="auto"/>
            <w:bottom w:val="single" w:sz="6" w:space="0" w:color="CCCCCC"/>
            <w:right w:val="none" w:sz="0" w:space="0" w:color="auto"/>
          </w:divBdr>
        </w:div>
      </w:divsChild>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938058909">
      <w:bodyDiv w:val="1"/>
      <w:marLeft w:val="0"/>
      <w:marRight w:val="0"/>
      <w:marTop w:val="0"/>
      <w:marBottom w:val="0"/>
      <w:divBdr>
        <w:top w:val="none" w:sz="0" w:space="0" w:color="auto"/>
        <w:left w:val="none" w:sz="0" w:space="0" w:color="auto"/>
        <w:bottom w:val="none" w:sz="0" w:space="0" w:color="auto"/>
        <w:right w:val="none" w:sz="0" w:space="0" w:color="auto"/>
      </w:divBdr>
      <w:divsChild>
        <w:div w:id="1904484068">
          <w:marLeft w:val="0"/>
          <w:marRight w:val="0"/>
          <w:marTop w:val="0"/>
          <w:marBottom w:val="0"/>
          <w:divBdr>
            <w:top w:val="none" w:sz="0" w:space="0" w:color="auto"/>
            <w:left w:val="none" w:sz="0" w:space="0" w:color="auto"/>
            <w:bottom w:val="none" w:sz="0" w:space="0" w:color="auto"/>
            <w:right w:val="none" w:sz="0" w:space="0" w:color="auto"/>
          </w:divBdr>
          <w:divsChild>
            <w:div w:id="692725899">
              <w:marLeft w:val="0"/>
              <w:marRight w:val="0"/>
              <w:marTop w:val="0"/>
              <w:marBottom w:val="0"/>
              <w:divBdr>
                <w:top w:val="none" w:sz="0" w:space="0" w:color="auto"/>
                <w:left w:val="none" w:sz="0" w:space="0" w:color="auto"/>
                <w:bottom w:val="none" w:sz="0" w:space="0" w:color="auto"/>
                <w:right w:val="none" w:sz="0" w:space="0" w:color="auto"/>
              </w:divBdr>
              <w:divsChild>
                <w:div w:id="685519940">
                  <w:marLeft w:val="0"/>
                  <w:marRight w:val="0"/>
                  <w:marTop w:val="0"/>
                  <w:marBottom w:val="0"/>
                  <w:divBdr>
                    <w:top w:val="none" w:sz="0" w:space="0" w:color="auto"/>
                    <w:left w:val="none" w:sz="0" w:space="0" w:color="auto"/>
                    <w:bottom w:val="none" w:sz="0" w:space="0" w:color="auto"/>
                    <w:right w:val="none" w:sz="0" w:space="0" w:color="auto"/>
                  </w:divBdr>
                  <w:divsChild>
                    <w:div w:id="87772650">
                      <w:marLeft w:val="0"/>
                      <w:marRight w:val="0"/>
                      <w:marTop w:val="0"/>
                      <w:marBottom w:val="0"/>
                      <w:divBdr>
                        <w:top w:val="none" w:sz="0" w:space="0" w:color="auto"/>
                        <w:left w:val="none" w:sz="0" w:space="0" w:color="auto"/>
                        <w:bottom w:val="none" w:sz="0" w:space="0" w:color="auto"/>
                        <w:right w:val="none" w:sz="0" w:space="0" w:color="auto"/>
                      </w:divBdr>
                      <w:divsChild>
                        <w:div w:id="152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91">
          <w:marLeft w:val="0"/>
          <w:marRight w:val="0"/>
          <w:marTop w:val="0"/>
          <w:marBottom w:val="0"/>
          <w:divBdr>
            <w:top w:val="none" w:sz="0" w:space="0" w:color="auto"/>
            <w:left w:val="none" w:sz="0" w:space="0" w:color="auto"/>
            <w:bottom w:val="single" w:sz="6" w:space="0" w:color="CCCCCC"/>
            <w:right w:val="none" w:sz="0" w:space="0" w:color="auto"/>
          </w:divBdr>
        </w:div>
      </w:divsChild>
    </w:div>
    <w:div w:id="1954971581">
      <w:bodyDiv w:val="1"/>
      <w:marLeft w:val="0"/>
      <w:marRight w:val="0"/>
      <w:marTop w:val="0"/>
      <w:marBottom w:val="0"/>
      <w:divBdr>
        <w:top w:val="none" w:sz="0" w:space="0" w:color="auto"/>
        <w:left w:val="none" w:sz="0" w:space="0" w:color="auto"/>
        <w:bottom w:val="none" w:sz="0" w:space="0" w:color="auto"/>
        <w:right w:val="none" w:sz="0" w:space="0" w:color="auto"/>
      </w:divBdr>
    </w:div>
    <w:div w:id="20412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2021-04-30T17:49:00Z</dcterms:created>
  <dcterms:modified xsi:type="dcterms:W3CDTF">2021-04-30T17:50:00Z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