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E1C" w14:textId="3E004E2B" w:rsidR="00D07A79" w:rsidRPr="00933510" w:rsidRDefault="00360876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Ask an HR Advisor:  Tax </w:t>
      </w:r>
      <w:r w:rsidR="00C55FD4">
        <w:rPr>
          <w:b/>
          <w:bCs/>
          <w:color w:val="440056"/>
        </w:rPr>
        <w:t>on</w:t>
      </w:r>
      <w:r>
        <w:rPr>
          <w:b/>
          <w:bCs/>
          <w:color w:val="440056"/>
        </w:rPr>
        <w:t xml:space="preserve"> Holiday Gifts and Bonus Pay</w:t>
      </w:r>
    </w:p>
    <w:p w14:paraId="6FEA900F" w14:textId="77777777" w:rsidR="00D07A79" w:rsidRPr="00933510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0AD2A6B6" w14:textId="1E172A33" w:rsidR="00461D9C" w:rsidRDefault="00360876" w:rsidP="00D07A79">
      <w:pPr>
        <w:rPr>
          <w:sz w:val="20"/>
          <w:szCs w:val="20"/>
        </w:rPr>
      </w:pPr>
      <w:r w:rsidRPr="00360876">
        <w:rPr>
          <w:b/>
          <w:bCs/>
          <w:sz w:val="20"/>
          <w:szCs w:val="20"/>
        </w:rPr>
        <w:t>Q:</w:t>
      </w:r>
      <w:r>
        <w:rPr>
          <w:sz w:val="20"/>
          <w:szCs w:val="20"/>
        </w:rPr>
        <w:t xml:space="preserve">  How should we handle the taxation of holiday gifts and bonus pay?</w:t>
      </w:r>
    </w:p>
    <w:p w14:paraId="79BAA3E4" w14:textId="082E58F8" w:rsidR="00360876" w:rsidRDefault="00360876" w:rsidP="00D07A79">
      <w:pPr>
        <w:rPr>
          <w:sz w:val="20"/>
          <w:szCs w:val="20"/>
        </w:rPr>
      </w:pPr>
    </w:p>
    <w:p w14:paraId="5837F9EA" w14:textId="574E63A1" w:rsidR="00360876" w:rsidRDefault="00360876" w:rsidP="00360876">
      <w:pPr>
        <w:rPr>
          <w:rFonts w:eastAsia="Times New Roman" w:cstheme="minorHAnsi"/>
          <w:color w:val="303030"/>
          <w:sz w:val="20"/>
          <w:szCs w:val="20"/>
          <w:lang w:bidi="ar-SA"/>
        </w:rPr>
      </w:pPr>
      <w:r w:rsidRPr="00360876">
        <w:rPr>
          <w:b/>
          <w:bCs/>
          <w:sz w:val="20"/>
          <w:szCs w:val="20"/>
        </w:rPr>
        <w:t xml:space="preserve">A:  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 xml:space="preserve">As employers consider employee holiday gifts and year-end bonuses, it is a good time to review the IRS regulations on taxation and wage and hour laws on inclusion of bonus in regular rate.  Employer-provided gift cards, prepaid credit cards, year-end bonuses or money in any form are all taxable to the employee regardless of the amount.   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Only n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 xml:space="preserve">on-cash holiday gifts with a low market value to employees are </w:t>
      </w:r>
      <w:proofErr w:type="gramStart"/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non-taxable;</w:t>
      </w:r>
      <w:proofErr w:type="gramEnd"/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 xml:space="preserve"> for example, food gifts, theater tickets, or holiday parties.  For other examples that escape taxation, see </w:t>
      </w:r>
      <w:hyperlink r:id="rId10" w:tgtFrame="_blank" w:history="1">
        <w:r w:rsidRPr="00360876">
          <w:rPr>
            <w:rFonts w:eastAsia="Times New Roman" w:cstheme="minorHAnsi"/>
            <w:color w:val="0070D2"/>
            <w:sz w:val="20"/>
            <w:szCs w:val="20"/>
            <w:u w:val="single"/>
            <w:lang w:bidi="ar-SA"/>
          </w:rPr>
          <w:t>http://j</w:t>
        </w:r>
        <w:r w:rsidRPr="00360876">
          <w:rPr>
            <w:rFonts w:eastAsia="Times New Roman" w:cstheme="minorHAnsi"/>
            <w:color w:val="0070D2"/>
            <w:sz w:val="20"/>
            <w:szCs w:val="20"/>
            <w:u w:val="single"/>
            <w:lang w:bidi="ar-SA"/>
          </w:rPr>
          <w:t>.</w:t>
        </w:r>
        <w:r w:rsidRPr="00360876">
          <w:rPr>
            <w:rFonts w:eastAsia="Times New Roman" w:cstheme="minorHAnsi"/>
            <w:color w:val="0070D2"/>
            <w:sz w:val="20"/>
            <w:szCs w:val="20"/>
            <w:u w:val="single"/>
            <w:lang w:bidi="ar-SA"/>
          </w:rPr>
          <w:t>mp/irs-fb</w:t>
        </w:r>
      </w:hyperlink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.  </w:t>
      </w:r>
    </w:p>
    <w:p w14:paraId="7550EE7A" w14:textId="77777777" w:rsidR="00360876" w:rsidRPr="00360876" w:rsidRDefault="00360876" w:rsidP="00360876">
      <w:pPr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76667602" w14:textId="31222841" w:rsidR="00360876" w:rsidRDefault="00360876" w:rsidP="00360876">
      <w:pPr>
        <w:shd w:val="clear" w:color="auto" w:fill="FFFFFF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Discretionary gifts, such as holiday gift cards </w:t>
      </w:r>
      <w:r w:rsidRPr="00360876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do not 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have to be included in pay for the calculation of regular rate for overtime.  However, year-end bonuses or other payments based on a prior announcement or that are based on attendance, production or efficiency must be included in pay, and will require recalculation of the regular rate for overtime purposes.</w:t>
      </w:r>
    </w:p>
    <w:p w14:paraId="066F2154" w14:textId="77777777" w:rsidR="00360876" w:rsidRPr="00360876" w:rsidRDefault="00360876" w:rsidP="00360876">
      <w:pPr>
        <w:shd w:val="clear" w:color="auto" w:fill="FFFFFF"/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53CA2E60" w14:textId="705E5394" w:rsidR="00360876" w:rsidRPr="00360876" w:rsidRDefault="00360876" w:rsidP="00360876">
      <w:pPr>
        <w:shd w:val="clear" w:color="auto" w:fill="FFFFFF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For information on discretionary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 xml:space="preserve"> and non-discretionary 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bonuses and exclusions from regular rate, see </w:t>
      </w:r>
      <w:proofErr w:type="spellStart"/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fldChar w:fldCharType="begin"/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instrText xml:space="preserve"> HYPERLINK "http://webapps.dol.gov/elaws/whd/flsa/otcalc/docstatexc.asp" \t "_blank" </w:instrTex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fldChar w:fldCharType="separate"/>
      </w:r>
      <w:r w:rsidRPr="00360876">
        <w:rPr>
          <w:rFonts w:eastAsia="Times New Roman" w:cstheme="minorHAnsi"/>
          <w:color w:val="0070D2"/>
          <w:sz w:val="20"/>
          <w:szCs w:val="20"/>
          <w:u w:val="single"/>
          <w:lang w:bidi="ar-SA"/>
        </w:rPr>
        <w:t>elaws</w:t>
      </w:r>
      <w:proofErr w:type="spellEnd"/>
      <w:r w:rsidRPr="00360876">
        <w:rPr>
          <w:rFonts w:eastAsia="Times New Roman" w:cstheme="minorHAnsi"/>
          <w:color w:val="0070D2"/>
          <w:sz w:val="20"/>
          <w:szCs w:val="20"/>
          <w:u w:val="single"/>
          <w:lang w:bidi="ar-SA"/>
        </w:rPr>
        <w:t xml:space="preserve"> - FLSA O</w:t>
      </w:r>
      <w:r w:rsidRPr="00360876">
        <w:rPr>
          <w:rFonts w:eastAsia="Times New Roman" w:cstheme="minorHAnsi"/>
          <w:color w:val="0070D2"/>
          <w:sz w:val="20"/>
          <w:szCs w:val="20"/>
          <w:u w:val="single"/>
          <w:lang w:bidi="ar-SA"/>
        </w:rPr>
        <w:t>v</w:t>
      </w:r>
      <w:r w:rsidRPr="00360876">
        <w:rPr>
          <w:rFonts w:eastAsia="Times New Roman" w:cstheme="minorHAnsi"/>
          <w:color w:val="0070D2"/>
          <w:sz w:val="20"/>
          <w:szCs w:val="20"/>
          <w:u w:val="single"/>
          <w:lang w:bidi="ar-SA"/>
        </w:rPr>
        <w:t>ertime Calculator Advisor.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fldChar w:fldCharType="end"/>
      </w:r>
    </w:p>
    <w:p w14:paraId="6A670278" w14:textId="77777777" w:rsidR="00360876" w:rsidRPr="00360876" w:rsidRDefault="00360876" w:rsidP="00360876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0E61F843" w14:textId="32A99EC7" w:rsidR="00360876" w:rsidRPr="00360876" w:rsidRDefault="00360876" w:rsidP="00360876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 xml:space="preserve">If you have additional questions, please 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contact Catapult’s Advice Team at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 xml:space="preserve"> 919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noBreakHyphen/>
        <w:t>878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noBreakHyphen/>
        <w:t>9222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.</w:t>
      </w: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 xml:space="preserve"> </w:t>
      </w:r>
    </w:p>
    <w:p w14:paraId="6F5098F6" w14:textId="7A378FDE" w:rsidR="00360876" w:rsidRPr="00360876" w:rsidRDefault="00360876" w:rsidP="00D07A79">
      <w:pPr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409722F2" w14:textId="40732E45" w:rsidR="00360876" w:rsidRPr="00360876" w:rsidRDefault="00360876" w:rsidP="00D07A79">
      <w:pPr>
        <w:rPr>
          <w:rFonts w:cstheme="minorHAnsi"/>
          <w:b/>
          <w:bCs/>
          <w:sz w:val="20"/>
          <w:szCs w:val="20"/>
        </w:rPr>
      </w:pPr>
      <w:r w:rsidRPr="00360876">
        <w:rPr>
          <w:rFonts w:eastAsia="Times New Roman" w:cstheme="minorHAnsi"/>
          <w:color w:val="303030"/>
          <w:sz w:val="20"/>
          <w:szCs w:val="20"/>
          <w:lang w:bidi="ar-SA"/>
        </w:rPr>
        <w:t>Written by a Catapult Advisor</w:t>
      </w:r>
    </w:p>
    <w:sectPr w:rsidR="00360876" w:rsidRPr="00360876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067B" w14:textId="77777777" w:rsidR="00FE1036" w:rsidRDefault="00FE1036">
      <w:r>
        <w:separator/>
      </w:r>
    </w:p>
  </w:endnote>
  <w:endnote w:type="continuationSeparator" w:id="0">
    <w:p w14:paraId="3572917D" w14:textId="77777777" w:rsidR="00FE1036" w:rsidRDefault="00F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0060F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546" w14:textId="77777777" w:rsidR="00FE1036" w:rsidRDefault="00FE1036">
      <w:r>
        <w:separator/>
      </w:r>
    </w:p>
  </w:footnote>
  <w:footnote w:type="continuationSeparator" w:id="0">
    <w:p w14:paraId="6F212AA8" w14:textId="77777777" w:rsidR="00FE1036" w:rsidRDefault="00FE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2249F7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C87DE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2ABDCE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02812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2249F7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A0B2D"/>
    <w:rsid w:val="000A4E27"/>
    <w:rsid w:val="00163C29"/>
    <w:rsid w:val="001821AF"/>
    <w:rsid w:val="001C0B5D"/>
    <w:rsid w:val="002137AC"/>
    <w:rsid w:val="00240991"/>
    <w:rsid w:val="00290988"/>
    <w:rsid w:val="00340F57"/>
    <w:rsid w:val="00360876"/>
    <w:rsid w:val="003B2AE3"/>
    <w:rsid w:val="00400629"/>
    <w:rsid w:val="0044286D"/>
    <w:rsid w:val="0047661F"/>
    <w:rsid w:val="00495685"/>
    <w:rsid w:val="004C1A9B"/>
    <w:rsid w:val="004D6C9F"/>
    <w:rsid w:val="004F2E5E"/>
    <w:rsid w:val="005412B8"/>
    <w:rsid w:val="00596823"/>
    <w:rsid w:val="005A1E1F"/>
    <w:rsid w:val="005A5A17"/>
    <w:rsid w:val="005B6C2D"/>
    <w:rsid w:val="00616E4A"/>
    <w:rsid w:val="006A767E"/>
    <w:rsid w:val="00745AC7"/>
    <w:rsid w:val="007945F7"/>
    <w:rsid w:val="007E0C3E"/>
    <w:rsid w:val="007E42A3"/>
    <w:rsid w:val="0084373E"/>
    <w:rsid w:val="008548D5"/>
    <w:rsid w:val="00854AED"/>
    <w:rsid w:val="00883111"/>
    <w:rsid w:val="008950E6"/>
    <w:rsid w:val="00933510"/>
    <w:rsid w:val="009559A8"/>
    <w:rsid w:val="009776EF"/>
    <w:rsid w:val="009B32AA"/>
    <w:rsid w:val="009B39B2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55FD4"/>
    <w:rsid w:val="00CA033A"/>
    <w:rsid w:val="00CC2425"/>
    <w:rsid w:val="00CC2BBF"/>
    <w:rsid w:val="00D06DCD"/>
    <w:rsid w:val="00D07A79"/>
    <w:rsid w:val="00D957F4"/>
    <w:rsid w:val="00E50642"/>
    <w:rsid w:val="00E86856"/>
    <w:rsid w:val="00EC6134"/>
    <w:rsid w:val="00ED2BA7"/>
    <w:rsid w:val="00EF6625"/>
    <w:rsid w:val="00F72353"/>
    <w:rsid w:val="00F925D1"/>
    <w:rsid w:val="00FC396B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pub/irs-pdf/p15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2</cp:revision>
  <dcterms:created xsi:type="dcterms:W3CDTF">2021-05-06T14:02:00Z</dcterms:created>
  <dcterms:modified xsi:type="dcterms:W3CDTF">2021-05-06T14:02:00Z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