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3A4A" w14:textId="123FB368" w:rsidR="00317673" w:rsidRPr="00330CD6" w:rsidRDefault="00317673" w:rsidP="00317673">
      <w:pPr>
        <w:rPr>
          <w:b/>
          <w:bCs/>
          <w:color w:val="440056"/>
        </w:rPr>
      </w:pPr>
      <w:r w:rsidRPr="00330CD6">
        <w:rPr>
          <w:b/>
          <w:bCs/>
          <w:color w:val="440056"/>
        </w:rPr>
        <w:t xml:space="preserve">Answers at 8, </w:t>
      </w:r>
      <w:r w:rsidR="00735F11">
        <w:rPr>
          <w:b/>
          <w:bCs/>
          <w:color w:val="440056"/>
        </w:rPr>
        <w:t>October 15</w:t>
      </w:r>
      <w:r>
        <w:rPr>
          <w:b/>
          <w:bCs/>
          <w:color w:val="440056"/>
        </w:rPr>
        <w:t>, 2021</w:t>
      </w:r>
    </w:p>
    <w:p w14:paraId="73D3E75F" w14:textId="77777777" w:rsidR="00317673" w:rsidRPr="00933510" w:rsidRDefault="00317673" w:rsidP="00317673">
      <w:pPr>
        <w:rPr>
          <w:rFonts w:cs="Times New Roman (Body CS)"/>
          <w:color w:val="666666"/>
          <w:spacing w:val="20"/>
          <w:kern w:val="22"/>
          <w:sz w:val="20"/>
          <w:szCs w:val="20"/>
        </w:rPr>
      </w:pPr>
    </w:p>
    <w:p w14:paraId="23601416" w14:textId="2DBAC030" w:rsidR="00317673" w:rsidRDefault="00317673" w:rsidP="00317673">
      <w:pPr>
        <w:rPr>
          <w:rFonts w:cs="Times New Roman (Body CS)"/>
          <w:color w:val="666666"/>
          <w:spacing w:val="20"/>
          <w:kern w:val="22"/>
          <w:sz w:val="20"/>
          <w:szCs w:val="20"/>
        </w:rPr>
      </w:pPr>
      <w:r>
        <w:rPr>
          <w:rFonts w:cs="Times New Roman (Body CS)"/>
          <w:color w:val="666666"/>
          <w:spacing w:val="20"/>
          <w:kern w:val="22"/>
          <w:sz w:val="20"/>
          <w:szCs w:val="20"/>
        </w:rPr>
        <w:t xml:space="preserve">This week’s </w:t>
      </w:r>
      <w:r w:rsidR="00735F11">
        <w:rPr>
          <w:rFonts w:cs="Times New Roman (Body CS)"/>
          <w:color w:val="666666"/>
          <w:spacing w:val="20"/>
          <w:kern w:val="22"/>
          <w:sz w:val="20"/>
          <w:szCs w:val="20"/>
        </w:rPr>
        <w:t>A</w:t>
      </w:r>
      <w:r>
        <w:rPr>
          <w:rFonts w:cs="Times New Roman (Body CS)"/>
          <w:color w:val="666666"/>
          <w:spacing w:val="20"/>
          <w:kern w:val="22"/>
          <w:sz w:val="20"/>
          <w:szCs w:val="20"/>
        </w:rPr>
        <w:t xml:space="preserve">nswers at 8 focused on </w:t>
      </w:r>
      <w:r w:rsidR="00735F11">
        <w:rPr>
          <w:rFonts w:cs="Times New Roman (Body CS)"/>
          <w:color w:val="666666"/>
          <w:spacing w:val="20"/>
          <w:kern w:val="22"/>
          <w:sz w:val="20"/>
          <w:szCs w:val="20"/>
        </w:rPr>
        <w:t>l</w:t>
      </w:r>
      <w:r>
        <w:rPr>
          <w:rFonts w:cs="Times New Roman (Body CS)"/>
          <w:color w:val="666666"/>
          <w:spacing w:val="20"/>
          <w:kern w:val="22"/>
          <w:sz w:val="20"/>
          <w:szCs w:val="20"/>
        </w:rPr>
        <w:t xml:space="preserve">egal updates and </w:t>
      </w:r>
      <w:r w:rsidR="00735F11">
        <w:rPr>
          <w:rFonts w:cs="Times New Roman (Body CS)"/>
          <w:color w:val="666666"/>
          <w:spacing w:val="20"/>
          <w:kern w:val="22"/>
          <w:sz w:val="20"/>
          <w:szCs w:val="20"/>
        </w:rPr>
        <w:t>ADA accommodations, a frequent question from our members who call in to the Advice Team.</w:t>
      </w:r>
    </w:p>
    <w:p w14:paraId="37EF4B1D" w14:textId="77777777" w:rsidR="00317673" w:rsidRDefault="00317673" w:rsidP="00317673">
      <w:pPr>
        <w:rPr>
          <w:rFonts w:cs="Times New Roman (Body CS)"/>
          <w:color w:val="666666"/>
          <w:spacing w:val="20"/>
          <w:kern w:val="22"/>
          <w:sz w:val="20"/>
          <w:szCs w:val="20"/>
        </w:rPr>
      </w:pPr>
    </w:p>
    <w:p w14:paraId="72215712" w14:textId="77777777" w:rsidR="00317673" w:rsidRDefault="00317673" w:rsidP="00317673">
      <w:pPr>
        <w:rPr>
          <w:b/>
          <w:bCs/>
          <w:color w:val="440056"/>
        </w:rPr>
      </w:pPr>
      <w:r w:rsidRPr="00051FA3">
        <w:rPr>
          <w:b/>
          <w:bCs/>
          <w:color w:val="440056"/>
        </w:rPr>
        <w:t>Legal Updates:</w:t>
      </w:r>
    </w:p>
    <w:p w14:paraId="04164EF2" w14:textId="77777777" w:rsidR="00317673" w:rsidRDefault="00317673" w:rsidP="00317673">
      <w:pPr>
        <w:pStyle w:val="ListParagraph"/>
        <w:spacing w:after="160" w:line="259" w:lineRule="auto"/>
        <w:rPr>
          <w:color w:val="666666"/>
          <w:sz w:val="20"/>
          <w:szCs w:val="20"/>
        </w:rPr>
      </w:pPr>
    </w:p>
    <w:p w14:paraId="7A56F6C1" w14:textId="5C6589B2" w:rsidR="0017720D" w:rsidRDefault="00317673" w:rsidP="00735F11">
      <w:pPr>
        <w:pStyle w:val="ListParagraph"/>
        <w:numPr>
          <w:ilvl w:val="0"/>
          <w:numId w:val="1"/>
        </w:numPr>
        <w:spacing w:after="160" w:line="259" w:lineRule="auto"/>
        <w:rPr>
          <w:color w:val="666666"/>
          <w:sz w:val="20"/>
          <w:szCs w:val="20"/>
        </w:rPr>
      </w:pPr>
      <w:r w:rsidRPr="00317673">
        <w:rPr>
          <w:color w:val="666666"/>
          <w:sz w:val="20"/>
          <w:szCs w:val="20"/>
        </w:rPr>
        <w:t>Pfizer</w:t>
      </w:r>
      <w:r w:rsidR="00735F11">
        <w:rPr>
          <w:color w:val="666666"/>
          <w:sz w:val="20"/>
          <w:szCs w:val="20"/>
        </w:rPr>
        <w:t xml:space="preserve"> and Moderna’s vaccine boosters are now recommended for certain populations. Boosters have been proven to significantly increase immunity to the </w:t>
      </w:r>
      <w:r w:rsidR="00F318D5">
        <w:rPr>
          <w:color w:val="666666"/>
          <w:sz w:val="20"/>
          <w:szCs w:val="20"/>
        </w:rPr>
        <w:t>virus</w:t>
      </w:r>
      <w:r w:rsidR="00735F11">
        <w:rPr>
          <w:color w:val="666666"/>
          <w:sz w:val="20"/>
          <w:szCs w:val="20"/>
        </w:rPr>
        <w:t>. Johnson and Johnson’s booster is still under consideration. We do not advice mandating boosters at this time.</w:t>
      </w:r>
    </w:p>
    <w:p w14:paraId="43490894" w14:textId="0BD98143" w:rsidR="00735F11" w:rsidRDefault="007A3F23" w:rsidP="00735F11">
      <w:pPr>
        <w:pStyle w:val="ListParagraph"/>
        <w:numPr>
          <w:ilvl w:val="0"/>
          <w:numId w:val="1"/>
        </w:numPr>
        <w:spacing w:after="160" w:line="259" w:lineRule="auto"/>
        <w:rPr>
          <w:color w:val="666666"/>
          <w:sz w:val="20"/>
          <w:szCs w:val="20"/>
        </w:rPr>
      </w:pPr>
      <w:r>
        <w:rPr>
          <w:color w:val="666666"/>
          <w:sz w:val="20"/>
          <w:szCs w:val="20"/>
        </w:rPr>
        <w:t>If you are a federal contractor or subcontractor, make sure you carefully review any changes to your contracts, even if you believe you are not covered by the vaccine mandate requirements, as the guidance strongly recommends the language/clause be included in other contracts as well.</w:t>
      </w:r>
    </w:p>
    <w:p w14:paraId="32409918" w14:textId="6347516E" w:rsidR="007A3F23" w:rsidRDefault="007A3F23" w:rsidP="00735F11">
      <w:pPr>
        <w:pStyle w:val="ListParagraph"/>
        <w:numPr>
          <w:ilvl w:val="0"/>
          <w:numId w:val="1"/>
        </w:numPr>
        <w:spacing w:after="160" w:line="259" w:lineRule="auto"/>
        <w:rPr>
          <w:color w:val="666666"/>
          <w:sz w:val="20"/>
          <w:szCs w:val="20"/>
        </w:rPr>
      </w:pPr>
      <w:r>
        <w:rPr>
          <w:color w:val="666666"/>
          <w:sz w:val="20"/>
          <w:szCs w:val="20"/>
        </w:rPr>
        <w:t xml:space="preserve">It is </w:t>
      </w:r>
      <w:r w:rsidR="00F318D5">
        <w:rPr>
          <w:color w:val="666666"/>
          <w:sz w:val="20"/>
          <w:szCs w:val="20"/>
        </w:rPr>
        <w:t>NOT</w:t>
      </w:r>
      <w:r>
        <w:rPr>
          <w:color w:val="666666"/>
          <w:sz w:val="20"/>
          <w:szCs w:val="20"/>
        </w:rPr>
        <w:t xml:space="preserve"> best practice to decline ALL religious accommodations upfront and </w:t>
      </w:r>
      <w:r w:rsidR="00143347">
        <w:rPr>
          <w:color w:val="666666"/>
          <w:sz w:val="20"/>
          <w:szCs w:val="20"/>
        </w:rPr>
        <w:t xml:space="preserve">several employer policies are under scrutiny in the courts. These situations must be dealt with on a </w:t>
      </w:r>
      <w:r w:rsidR="002C4533">
        <w:rPr>
          <w:color w:val="666666"/>
          <w:sz w:val="20"/>
          <w:szCs w:val="20"/>
        </w:rPr>
        <w:t>case-by-case</w:t>
      </w:r>
      <w:r w:rsidR="00143347">
        <w:rPr>
          <w:color w:val="666666"/>
          <w:sz w:val="20"/>
          <w:szCs w:val="20"/>
        </w:rPr>
        <w:t xml:space="preserve"> basis.</w:t>
      </w:r>
    </w:p>
    <w:p w14:paraId="4FF96714" w14:textId="4D585242" w:rsidR="00143347" w:rsidRDefault="002C4533" w:rsidP="00735F11">
      <w:pPr>
        <w:pStyle w:val="ListParagraph"/>
        <w:numPr>
          <w:ilvl w:val="0"/>
          <w:numId w:val="1"/>
        </w:numPr>
        <w:spacing w:after="160" w:line="259" w:lineRule="auto"/>
        <w:rPr>
          <w:color w:val="666666"/>
          <w:sz w:val="20"/>
          <w:szCs w:val="20"/>
        </w:rPr>
      </w:pPr>
      <w:r>
        <w:rPr>
          <w:color w:val="666666"/>
          <w:sz w:val="20"/>
          <w:szCs w:val="20"/>
        </w:rPr>
        <w:t>T</w:t>
      </w:r>
      <w:r w:rsidRPr="002C4533">
        <w:rPr>
          <w:color w:val="666666"/>
          <w:sz w:val="20"/>
          <w:szCs w:val="20"/>
        </w:rPr>
        <w:t xml:space="preserve">he </w:t>
      </w:r>
      <w:r>
        <w:rPr>
          <w:color w:val="666666"/>
          <w:sz w:val="20"/>
          <w:szCs w:val="20"/>
        </w:rPr>
        <w:t>idea</w:t>
      </w:r>
      <w:r w:rsidRPr="002C4533">
        <w:rPr>
          <w:color w:val="666666"/>
          <w:sz w:val="20"/>
          <w:szCs w:val="20"/>
        </w:rPr>
        <w:t xml:space="preserve"> of changing health premiums based on vaccination status</w:t>
      </w:r>
      <w:r>
        <w:rPr>
          <w:color w:val="666666"/>
          <w:sz w:val="20"/>
          <w:szCs w:val="20"/>
        </w:rPr>
        <w:t xml:space="preserve"> (like Delta airlines) was supported by the</w:t>
      </w:r>
      <w:r w:rsidRPr="002C4533">
        <w:rPr>
          <w:color w:val="666666"/>
          <w:sz w:val="20"/>
          <w:szCs w:val="20"/>
        </w:rPr>
        <w:t xml:space="preserve"> DOL </w:t>
      </w:r>
      <w:r>
        <w:rPr>
          <w:color w:val="666666"/>
          <w:sz w:val="20"/>
          <w:szCs w:val="20"/>
        </w:rPr>
        <w:t>in this</w:t>
      </w:r>
      <w:r w:rsidRPr="002C4533">
        <w:rPr>
          <w:color w:val="666666"/>
          <w:sz w:val="20"/>
          <w:szCs w:val="20"/>
        </w:rPr>
        <w:t xml:space="preserve"> </w:t>
      </w:r>
      <w:hyperlink r:id="rId10" w:history="1">
        <w:r w:rsidRPr="002C4533">
          <w:rPr>
            <w:rStyle w:val="Hyperlink"/>
            <w:sz w:val="20"/>
            <w:szCs w:val="20"/>
          </w:rPr>
          <w:t>FAQ</w:t>
        </w:r>
      </w:hyperlink>
      <w:r>
        <w:rPr>
          <w:color w:val="666666"/>
          <w:sz w:val="20"/>
          <w:szCs w:val="20"/>
        </w:rPr>
        <w:t xml:space="preserve">. The DOL gives little clarity on the question of whether religious objections should be accommodated by offering an alternative to </w:t>
      </w:r>
      <w:r w:rsidR="0030625D">
        <w:rPr>
          <w:color w:val="666666"/>
          <w:sz w:val="20"/>
          <w:szCs w:val="20"/>
        </w:rPr>
        <w:t>achieving the wellness premium</w:t>
      </w:r>
      <w:r>
        <w:rPr>
          <w:color w:val="666666"/>
          <w:sz w:val="20"/>
          <w:szCs w:val="20"/>
        </w:rPr>
        <w:t>, but specifically states it is required for ADA reasons.</w:t>
      </w:r>
      <w:r w:rsidR="0030625D">
        <w:rPr>
          <w:color w:val="666666"/>
          <w:sz w:val="20"/>
          <w:szCs w:val="20"/>
        </w:rPr>
        <w:t xml:space="preserve"> There is a limit on the premium, and the employer should always consider employee morale and get advice from their benefits broker.</w:t>
      </w:r>
    </w:p>
    <w:p w14:paraId="50589288" w14:textId="095D5081" w:rsidR="00956970" w:rsidRDefault="00956970" w:rsidP="00735F11">
      <w:pPr>
        <w:pStyle w:val="ListParagraph"/>
        <w:numPr>
          <w:ilvl w:val="0"/>
          <w:numId w:val="1"/>
        </w:numPr>
        <w:spacing w:after="160" w:line="259" w:lineRule="auto"/>
        <w:rPr>
          <w:color w:val="666666"/>
          <w:sz w:val="20"/>
          <w:szCs w:val="20"/>
        </w:rPr>
      </w:pPr>
      <w:r>
        <w:rPr>
          <w:color w:val="666666"/>
          <w:sz w:val="20"/>
          <w:szCs w:val="20"/>
        </w:rPr>
        <w:t>OSHA has submitted its ETS to the White House</w:t>
      </w:r>
      <w:r w:rsidR="00FB69F9">
        <w:rPr>
          <w:color w:val="666666"/>
          <w:sz w:val="20"/>
          <w:szCs w:val="20"/>
        </w:rPr>
        <w:t xml:space="preserve"> for employers with 100+ employees</w:t>
      </w:r>
      <w:r>
        <w:rPr>
          <w:color w:val="666666"/>
          <w:sz w:val="20"/>
          <w:szCs w:val="20"/>
        </w:rPr>
        <w:t>. More information and details should be coming up in the next week. NC</w:t>
      </w:r>
      <w:r w:rsidR="00FB69F9">
        <w:rPr>
          <w:color w:val="666666"/>
          <w:sz w:val="20"/>
          <w:szCs w:val="20"/>
        </w:rPr>
        <w:t xml:space="preserve"> has a state OSHA program and will need to accept the OSHA ETS or put in place its own program which me</w:t>
      </w:r>
      <w:r w:rsidR="00F318D5">
        <w:rPr>
          <w:color w:val="666666"/>
          <w:sz w:val="20"/>
          <w:szCs w:val="20"/>
        </w:rPr>
        <w:t>e</w:t>
      </w:r>
      <w:r w:rsidR="00FB69F9">
        <w:rPr>
          <w:color w:val="666666"/>
          <w:sz w:val="20"/>
          <w:szCs w:val="20"/>
        </w:rPr>
        <w:t>t</w:t>
      </w:r>
      <w:r w:rsidR="00F318D5">
        <w:rPr>
          <w:color w:val="666666"/>
          <w:sz w:val="20"/>
          <w:szCs w:val="20"/>
        </w:rPr>
        <w:t>s</w:t>
      </w:r>
      <w:r w:rsidR="00FB69F9">
        <w:rPr>
          <w:color w:val="666666"/>
          <w:sz w:val="20"/>
          <w:szCs w:val="20"/>
        </w:rPr>
        <w:t xml:space="preserve"> or exceed</w:t>
      </w:r>
      <w:r w:rsidR="00F318D5">
        <w:rPr>
          <w:color w:val="666666"/>
          <w:sz w:val="20"/>
          <w:szCs w:val="20"/>
        </w:rPr>
        <w:t>s</w:t>
      </w:r>
      <w:r w:rsidR="00FB69F9">
        <w:rPr>
          <w:color w:val="666666"/>
          <w:sz w:val="20"/>
          <w:szCs w:val="20"/>
        </w:rPr>
        <w:t xml:space="preserve"> the federal one. Employers should be preparing </w:t>
      </w:r>
      <w:r w:rsidR="008811C0">
        <w:rPr>
          <w:color w:val="666666"/>
          <w:sz w:val="20"/>
          <w:szCs w:val="20"/>
        </w:rPr>
        <w:t>to either test weekly or mandate testing by surveying staff, educations staff, and considering the impact of various options.</w:t>
      </w:r>
      <w:r w:rsidR="00F318D5">
        <w:rPr>
          <w:color w:val="666666"/>
          <w:sz w:val="20"/>
          <w:szCs w:val="20"/>
        </w:rPr>
        <w:t xml:space="preserve"> Catapult’s </w:t>
      </w:r>
      <w:hyperlink r:id="rId11" w:history="1">
        <w:r w:rsidR="00F318D5" w:rsidRPr="008243B5">
          <w:rPr>
            <w:rStyle w:val="Hyperlink"/>
            <w:sz w:val="20"/>
            <w:szCs w:val="20"/>
          </w:rPr>
          <w:t>COVID toolkit</w:t>
        </w:r>
      </w:hyperlink>
      <w:r w:rsidR="00F318D5">
        <w:rPr>
          <w:color w:val="666666"/>
          <w:sz w:val="20"/>
          <w:szCs w:val="20"/>
        </w:rPr>
        <w:t xml:space="preserve"> may help.</w:t>
      </w:r>
    </w:p>
    <w:p w14:paraId="5464D438" w14:textId="15EBD43A" w:rsidR="008D7F2A" w:rsidRPr="00317673" w:rsidRDefault="008D7F2A" w:rsidP="00735F11">
      <w:pPr>
        <w:pStyle w:val="ListParagraph"/>
        <w:numPr>
          <w:ilvl w:val="0"/>
          <w:numId w:val="1"/>
        </w:numPr>
        <w:spacing w:after="160" w:line="259" w:lineRule="auto"/>
        <w:rPr>
          <w:color w:val="666666"/>
          <w:sz w:val="20"/>
          <w:szCs w:val="20"/>
        </w:rPr>
      </w:pPr>
      <w:r>
        <w:rPr>
          <w:color w:val="666666"/>
          <w:sz w:val="20"/>
          <w:szCs w:val="20"/>
        </w:rPr>
        <w:t xml:space="preserve">Mental health continues to be a concern at this time. Employers should remember that mental health can be a taboo topic that employees do not share with others. It is beneficial for employees to feel comfortable discussing concerns and asking for accommodations. Make sure your company is providing </w:t>
      </w:r>
      <w:r w:rsidR="008243B5">
        <w:rPr>
          <w:color w:val="666666"/>
          <w:sz w:val="20"/>
          <w:szCs w:val="20"/>
        </w:rPr>
        <w:t xml:space="preserve">mental health awareness </w:t>
      </w:r>
      <w:r>
        <w:rPr>
          <w:color w:val="666666"/>
          <w:sz w:val="20"/>
          <w:szCs w:val="20"/>
        </w:rPr>
        <w:t>and “advertising” mental health supports.</w:t>
      </w:r>
    </w:p>
    <w:p w14:paraId="1412081A" w14:textId="763B3124" w:rsidR="00317673" w:rsidRPr="00317673" w:rsidRDefault="001C0A1C" w:rsidP="00317673">
      <w:pPr>
        <w:pStyle w:val="NoSpacing"/>
        <w:rPr>
          <w:b/>
          <w:bCs/>
          <w:color w:val="440056"/>
        </w:rPr>
      </w:pPr>
      <w:r>
        <w:rPr>
          <w:b/>
          <w:bCs/>
          <w:color w:val="440056"/>
        </w:rPr>
        <w:t>ADA Accommodations:</w:t>
      </w:r>
    </w:p>
    <w:p w14:paraId="1181F11D" w14:textId="76512B07" w:rsidR="00A2638B" w:rsidRDefault="001C0A1C" w:rsidP="00A2638B">
      <w:pPr>
        <w:spacing w:after="160" w:line="259" w:lineRule="auto"/>
        <w:rPr>
          <w:color w:val="666666"/>
          <w:sz w:val="20"/>
          <w:szCs w:val="20"/>
        </w:rPr>
      </w:pPr>
      <w:r w:rsidRPr="00A2638B">
        <w:rPr>
          <w:color w:val="666666"/>
          <w:sz w:val="20"/>
          <w:szCs w:val="20"/>
        </w:rPr>
        <w:t>The ADA covers most employers with 15+ employees</w:t>
      </w:r>
      <w:r w:rsidR="00A2638B">
        <w:rPr>
          <w:color w:val="666666"/>
          <w:sz w:val="20"/>
          <w:szCs w:val="20"/>
        </w:rPr>
        <w:t xml:space="preserve"> and </w:t>
      </w:r>
      <w:r>
        <w:rPr>
          <w:color w:val="666666"/>
          <w:sz w:val="20"/>
          <w:szCs w:val="20"/>
        </w:rPr>
        <w:t xml:space="preserve">requires an interactive process </w:t>
      </w:r>
      <w:r w:rsidR="008243B5">
        <w:rPr>
          <w:color w:val="666666"/>
          <w:sz w:val="20"/>
          <w:szCs w:val="20"/>
        </w:rPr>
        <w:t xml:space="preserve">to occur </w:t>
      </w:r>
      <w:r w:rsidR="00A2638B">
        <w:rPr>
          <w:color w:val="666666"/>
          <w:sz w:val="20"/>
          <w:szCs w:val="20"/>
        </w:rPr>
        <w:t>(between employee, employer and sometimes physician</w:t>
      </w:r>
      <w:r w:rsidR="008243B5">
        <w:rPr>
          <w:color w:val="666666"/>
          <w:sz w:val="20"/>
          <w:szCs w:val="20"/>
        </w:rPr>
        <w:t>)</w:t>
      </w:r>
      <w:r>
        <w:rPr>
          <w:color w:val="666666"/>
          <w:sz w:val="20"/>
          <w:szCs w:val="20"/>
        </w:rPr>
        <w:t xml:space="preserve"> when an employee</w:t>
      </w:r>
      <w:r w:rsidR="00A2638B">
        <w:rPr>
          <w:color w:val="666666"/>
          <w:sz w:val="20"/>
          <w:szCs w:val="20"/>
        </w:rPr>
        <w:t xml:space="preserve"> c</w:t>
      </w:r>
      <w:r w:rsidR="00A2638B" w:rsidRPr="00A2638B">
        <w:rPr>
          <w:color w:val="666666"/>
          <w:sz w:val="20"/>
          <w:szCs w:val="20"/>
        </w:rPr>
        <w:t>annot perform the essential functions of their job</w:t>
      </w:r>
      <w:r w:rsidR="00A2638B">
        <w:rPr>
          <w:color w:val="666666"/>
          <w:sz w:val="20"/>
          <w:szCs w:val="20"/>
        </w:rPr>
        <w:t xml:space="preserve"> </w:t>
      </w:r>
      <w:r w:rsidR="00A2638B" w:rsidRPr="00A2638B">
        <w:rPr>
          <w:color w:val="666666"/>
          <w:sz w:val="20"/>
          <w:szCs w:val="20"/>
        </w:rPr>
        <w:t>DUE TO a medical condition (mental or physical)</w:t>
      </w:r>
      <w:r w:rsidR="00A2638B">
        <w:rPr>
          <w:color w:val="666666"/>
          <w:sz w:val="20"/>
          <w:szCs w:val="20"/>
        </w:rPr>
        <w:t xml:space="preserve">. As attendance is an essential function of the job, this would include attendance issues that </w:t>
      </w:r>
      <w:r w:rsidR="008243B5">
        <w:rPr>
          <w:color w:val="666666"/>
          <w:sz w:val="20"/>
          <w:szCs w:val="20"/>
        </w:rPr>
        <w:t>are</w:t>
      </w:r>
      <w:r w:rsidR="00A2638B">
        <w:rPr>
          <w:color w:val="666666"/>
          <w:sz w:val="20"/>
          <w:szCs w:val="20"/>
        </w:rPr>
        <w:t xml:space="preserve"> not already covered under FMLA or another employer leave program.</w:t>
      </w:r>
    </w:p>
    <w:p w14:paraId="262C0BFC" w14:textId="0C65F71A" w:rsidR="00A2638B" w:rsidRPr="00A2638B" w:rsidRDefault="00A2638B" w:rsidP="00A2638B">
      <w:pPr>
        <w:spacing w:after="160" w:line="259" w:lineRule="auto"/>
        <w:rPr>
          <w:color w:val="666666"/>
          <w:sz w:val="20"/>
          <w:szCs w:val="20"/>
        </w:rPr>
      </w:pPr>
      <w:r>
        <w:rPr>
          <w:color w:val="666666"/>
          <w:sz w:val="20"/>
          <w:szCs w:val="20"/>
        </w:rPr>
        <w:t>Employers should bear in mind:</w:t>
      </w:r>
    </w:p>
    <w:p w14:paraId="01BE3BEC" w14:textId="414CF323" w:rsidR="00C25D24" w:rsidRDefault="00A2638B" w:rsidP="00317673">
      <w:pPr>
        <w:pStyle w:val="ListParagraph"/>
        <w:numPr>
          <w:ilvl w:val="0"/>
          <w:numId w:val="1"/>
        </w:numPr>
        <w:spacing w:after="160" w:line="259" w:lineRule="auto"/>
        <w:rPr>
          <w:color w:val="666666"/>
          <w:sz w:val="20"/>
          <w:szCs w:val="20"/>
        </w:rPr>
      </w:pPr>
      <w:r>
        <w:rPr>
          <w:color w:val="666666"/>
          <w:sz w:val="20"/>
          <w:szCs w:val="20"/>
        </w:rPr>
        <w:t>Never make assumptions about the reason an employee is having productivity or attendance issues. Address the concern and ask if they know why they are having issues and how you can help.</w:t>
      </w:r>
    </w:p>
    <w:p w14:paraId="2E712678" w14:textId="05CDA435" w:rsidR="002C7C9F" w:rsidRDefault="00A2638B" w:rsidP="00317673">
      <w:pPr>
        <w:pStyle w:val="ListParagraph"/>
        <w:numPr>
          <w:ilvl w:val="0"/>
          <w:numId w:val="1"/>
        </w:numPr>
        <w:spacing w:after="160" w:line="259" w:lineRule="auto"/>
        <w:rPr>
          <w:color w:val="666666"/>
          <w:sz w:val="20"/>
          <w:szCs w:val="20"/>
        </w:rPr>
      </w:pPr>
      <w:r>
        <w:rPr>
          <w:color w:val="666666"/>
          <w:sz w:val="20"/>
          <w:szCs w:val="20"/>
        </w:rPr>
        <w:t xml:space="preserve">If the employee self-discloses or the link between productivity and </w:t>
      </w:r>
      <w:r w:rsidR="008243B5">
        <w:rPr>
          <w:color w:val="666666"/>
          <w:sz w:val="20"/>
          <w:szCs w:val="20"/>
        </w:rPr>
        <w:t xml:space="preserve">a </w:t>
      </w:r>
      <w:r>
        <w:rPr>
          <w:color w:val="666666"/>
          <w:sz w:val="20"/>
          <w:szCs w:val="20"/>
        </w:rPr>
        <w:t xml:space="preserve">medical issue </w:t>
      </w:r>
      <w:r w:rsidR="008243B5">
        <w:rPr>
          <w:color w:val="666666"/>
          <w:sz w:val="20"/>
          <w:szCs w:val="20"/>
        </w:rPr>
        <w:t>is</w:t>
      </w:r>
      <w:r>
        <w:rPr>
          <w:color w:val="666666"/>
          <w:sz w:val="20"/>
          <w:szCs w:val="20"/>
        </w:rPr>
        <w:t xml:space="preserve"> clear – for example, an individual in a wheelchair cannot access a top floor meeting – then the interactive process should begin.</w:t>
      </w:r>
    </w:p>
    <w:p w14:paraId="3D9AEEC9" w14:textId="1F0A3746" w:rsidR="00564E33" w:rsidRDefault="00A2638B" w:rsidP="00317673">
      <w:pPr>
        <w:pStyle w:val="ListParagraph"/>
        <w:numPr>
          <w:ilvl w:val="0"/>
          <w:numId w:val="1"/>
        </w:numPr>
        <w:spacing w:after="160" w:line="259" w:lineRule="auto"/>
        <w:rPr>
          <w:color w:val="666666"/>
          <w:sz w:val="20"/>
          <w:szCs w:val="20"/>
        </w:rPr>
      </w:pPr>
      <w:r>
        <w:rPr>
          <w:color w:val="666666"/>
          <w:sz w:val="20"/>
          <w:szCs w:val="20"/>
        </w:rPr>
        <w:t xml:space="preserve">The employee and the employer should discuss possible accommodations that will allow the person to perform the essential functions of their job (removing essential functions or allowing for sub-par performance </w:t>
      </w:r>
      <w:r w:rsidR="008D7F2A">
        <w:rPr>
          <w:color w:val="666666"/>
          <w:sz w:val="20"/>
          <w:szCs w:val="20"/>
        </w:rPr>
        <w:t>is not required).</w:t>
      </w:r>
    </w:p>
    <w:p w14:paraId="4BAE31C7" w14:textId="587D67ED" w:rsidR="000C2234" w:rsidRPr="00582180" w:rsidRDefault="000C2234" w:rsidP="00582180">
      <w:pPr>
        <w:pStyle w:val="ListParagraph"/>
        <w:numPr>
          <w:ilvl w:val="0"/>
          <w:numId w:val="1"/>
        </w:numPr>
        <w:spacing w:after="160" w:line="259" w:lineRule="auto"/>
        <w:rPr>
          <w:color w:val="666666"/>
          <w:sz w:val="20"/>
          <w:szCs w:val="20"/>
        </w:rPr>
      </w:pPr>
      <w:r>
        <w:rPr>
          <w:color w:val="666666"/>
          <w:sz w:val="20"/>
          <w:szCs w:val="20"/>
        </w:rPr>
        <w:t xml:space="preserve">Many employers choose to require ADA documentation from an employee’s physician if the disability is not open and obvious. The doctor can be helpful in determining accommodations as well. The employee generally uses their own physician </w:t>
      </w:r>
      <w:r w:rsidR="00582180">
        <w:rPr>
          <w:color w:val="666666"/>
          <w:sz w:val="20"/>
          <w:szCs w:val="20"/>
        </w:rPr>
        <w:t>to obtain this documentation. If an employer requires a doctor’s exam for other reasons, the employer may need to pay for the exam, so contact Catapult’s advice team</w:t>
      </w:r>
      <w:r w:rsidR="00582180" w:rsidRPr="00582180">
        <w:rPr>
          <w:color w:val="666666"/>
          <w:sz w:val="20"/>
          <w:szCs w:val="20"/>
        </w:rPr>
        <w:t xml:space="preserve"> if you have concerns.</w:t>
      </w:r>
    </w:p>
    <w:p w14:paraId="2F125730" w14:textId="410392CC" w:rsidR="00A80F35" w:rsidRDefault="00582180" w:rsidP="00A80F35">
      <w:pPr>
        <w:pStyle w:val="ListParagraph"/>
        <w:numPr>
          <w:ilvl w:val="0"/>
          <w:numId w:val="1"/>
        </w:numPr>
        <w:spacing w:after="160" w:line="259" w:lineRule="auto"/>
        <w:rPr>
          <w:color w:val="666666"/>
          <w:sz w:val="20"/>
          <w:szCs w:val="20"/>
        </w:rPr>
      </w:pPr>
      <w:r>
        <w:rPr>
          <w:color w:val="666666"/>
          <w:sz w:val="20"/>
          <w:szCs w:val="20"/>
        </w:rPr>
        <w:t xml:space="preserve">If no accommodation can be found, leave is an option. Always consider FMLA and other company leave first, but if those have been exhausted or do not exist, leave can be an accommodation under the ADA as it may help the individual resume the essential duties with or without other ongoing accommodation. Generally ongoing intermittent time off is not an </w:t>
      </w:r>
      <w:r>
        <w:rPr>
          <w:color w:val="666666"/>
          <w:sz w:val="20"/>
          <w:szCs w:val="20"/>
        </w:rPr>
        <w:lastRenderedPageBreak/>
        <w:t xml:space="preserve">acceptable </w:t>
      </w:r>
      <w:r w:rsidR="001B1E16">
        <w:rPr>
          <w:color w:val="666666"/>
          <w:sz w:val="20"/>
          <w:szCs w:val="20"/>
        </w:rPr>
        <w:t>accommodation as it is not intended to help the employee return to the essential functions of their job (including attendance).</w:t>
      </w:r>
    </w:p>
    <w:p w14:paraId="41237247" w14:textId="3F79E2C9" w:rsidR="008243B5" w:rsidRDefault="008243B5" w:rsidP="00A80F35">
      <w:pPr>
        <w:pStyle w:val="ListParagraph"/>
        <w:numPr>
          <w:ilvl w:val="0"/>
          <w:numId w:val="1"/>
        </w:numPr>
        <w:spacing w:after="160" w:line="259" w:lineRule="auto"/>
        <w:rPr>
          <w:color w:val="666666"/>
          <w:sz w:val="20"/>
          <w:szCs w:val="20"/>
        </w:rPr>
      </w:pPr>
      <w:r>
        <w:rPr>
          <w:color w:val="666666"/>
          <w:sz w:val="20"/>
          <w:szCs w:val="20"/>
        </w:rPr>
        <w:t xml:space="preserve">Safety issues can trigger the interactive process as </w:t>
      </w:r>
      <w:r w:rsidR="002E3BD0">
        <w:rPr>
          <w:color w:val="666666"/>
          <w:sz w:val="20"/>
          <w:szCs w:val="20"/>
        </w:rPr>
        <w:t xml:space="preserve">employees must be able to perform their job without endangering themselves or others. Do not assume that someone’s condition makes them unsafe, but if you have </w:t>
      </w:r>
      <w:r w:rsidR="004D6F44">
        <w:rPr>
          <w:color w:val="666666"/>
          <w:sz w:val="20"/>
          <w:szCs w:val="20"/>
        </w:rPr>
        <w:t xml:space="preserve">true </w:t>
      </w:r>
      <w:r w:rsidR="002E3BD0">
        <w:rPr>
          <w:color w:val="666666"/>
          <w:sz w:val="20"/>
          <w:szCs w:val="20"/>
        </w:rPr>
        <w:t xml:space="preserve">evidence that they are unsafe (driving erratically, </w:t>
      </w:r>
      <w:r w:rsidR="004D6F44">
        <w:rPr>
          <w:color w:val="666666"/>
          <w:sz w:val="20"/>
          <w:szCs w:val="20"/>
        </w:rPr>
        <w:t>falling down repeatedly, etc.) or if they state that they do not feel they can work safely, then contact Catapult’s advice team to discuss.</w:t>
      </w:r>
    </w:p>
    <w:p w14:paraId="7A1C5E00" w14:textId="0EF3FB7D" w:rsidR="001B1E16" w:rsidRDefault="001B1E16" w:rsidP="00A80F35">
      <w:pPr>
        <w:pStyle w:val="ListParagraph"/>
        <w:numPr>
          <w:ilvl w:val="0"/>
          <w:numId w:val="1"/>
        </w:numPr>
        <w:spacing w:after="160" w:line="259" w:lineRule="auto"/>
        <w:rPr>
          <w:color w:val="666666"/>
          <w:sz w:val="20"/>
          <w:szCs w:val="20"/>
        </w:rPr>
      </w:pPr>
      <w:r>
        <w:rPr>
          <w:color w:val="666666"/>
          <w:sz w:val="20"/>
          <w:szCs w:val="20"/>
        </w:rPr>
        <w:t>Undue hardship can be difficult to prove. If the position is easy to replace, fill it with a temp</w:t>
      </w:r>
      <w:r w:rsidR="008243B5">
        <w:rPr>
          <w:color w:val="666666"/>
          <w:sz w:val="20"/>
          <w:szCs w:val="20"/>
        </w:rPr>
        <w:t>orary staff member</w:t>
      </w:r>
      <w:r>
        <w:rPr>
          <w:color w:val="666666"/>
          <w:sz w:val="20"/>
          <w:szCs w:val="20"/>
        </w:rPr>
        <w:t>. If the position is hard to replace and takes an extensive time to train, then unless the employee’s leave is extensive, allowing them to be out is unlikely to be an undue hardship. Always contact the advice team or your attorney if you are considering declining to accommodate someone.</w:t>
      </w:r>
    </w:p>
    <w:p w14:paraId="3E2AEAA4" w14:textId="66915C9C" w:rsidR="001B1E16" w:rsidRDefault="001B1E16" w:rsidP="00A80F35">
      <w:pPr>
        <w:pStyle w:val="ListParagraph"/>
        <w:numPr>
          <w:ilvl w:val="0"/>
          <w:numId w:val="1"/>
        </w:numPr>
        <w:spacing w:after="160" w:line="259" w:lineRule="auto"/>
        <w:rPr>
          <w:color w:val="666666"/>
          <w:sz w:val="20"/>
          <w:szCs w:val="20"/>
        </w:rPr>
      </w:pPr>
      <w:r>
        <w:rPr>
          <w:color w:val="666666"/>
          <w:sz w:val="20"/>
          <w:szCs w:val="20"/>
        </w:rPr>
        <w:t xml:space="preserve">The </w:t>
      </w:r>
      <w:hyperlink r:id="rId12" w:anchor="for-employers if you need support." w:history="1">
        <w:r w:rsidRPr="001B1E16">
          <w:rPr>
            <w:rStyle w:val="Hyperlink"/>
            <w:sz w:val="20"/>
            <w:szCs w:val="20"/>
          </w:rPr>
          <w:t>JAN Network</w:t>
        </w:r>
      </w:hyperlink>
      <w:r>
        <w:rPr>
          <w:color w:val="666666"/>
          <w:sz w:val="20"/>
          <w:szCs w:val="20"/>
        </w:rPr>
        <w:t xml:space="preserve"> is a helpful resource to determine good accommodations.</w:t>
      </w:r>
    </w:p>
    <w:p w14:paraId="719AB798" w14:textId="7D038CFD" w:rsidR="00C7430F" w:rsidRDefault="00C7430F" w:rsidP="00C7430F">
      <w:pPr>
        <w:spacing w:after="160" w:line="259" w:lineRule="auto"/>
        <w:ind w:left="360"/>
        <w:rPr>
          <w:color w:val="666666"/>
          <w:sz w:val="20"/>
          <w:szCs w:val="20"/>
        </w:rPr>
      </w:pPr>
    </w:p>
    <w:p w14:paraId="0C44CB70" w14:textId="76B811DE" w:rsidR="00C7430F" w:rsidRPr="00C7430F" w:rsidRDefault="00C7430F" w:rsidP="00C7430F">
      <w:pPr>
        <w:spacing w:after="160" w:line="259" w:lineRule="auto"/>
        <w:ind w:left="360"/>
        <w:rPr>
          <w:color w:val="666666"/>
          <w:sz w:val="20"/>
          <w:szCs w:val="20"/>
        </w:rPr>
      </w:pPr>
      <w:r>
        <w:rPr>
          <w:color w:val="666666"/>
          <w:sz w:val="20"/>
          <w:szCs w:val="20"/>
        </w:rPr>
        <w:t>Written by a Catapult Advisor.</w:t>
      </w:r>
    </w:p>
    <w:p w14:paraId="4B325FBA" w14:textId="77777777" w:rsidR="00317673" w:rsidRDefault="00317673" w:rsidP="00317673">
      <w:pPr>
        <w:pStyle w:val="NoSpacing"/>
        <w:rPr>
          <w:color w:val="767171" w:themeColor="background2" w:themeShade="80"/>
          <w:sz w:val="20"/>
          <w:szCs w:val="20"/>
        </w:rPr>
      </w:pPr>
    </w:p>
    <w:p w14:paraId="668F3836" w14:textId="77777777" w:rsidR="00317673" w:rsidRPr="00C517AC" w:rsidRDefault="00317673" w:rsidP="00317673">
      <w:pPr>
        <w:pStyle w:val="NoSpacing"/>
        <w:rPr>
          <w:color w:val="767171" w:themeColor="background2" w:themeShade="80"/>
          <w:sz w:val="20"/>
          <w:szCs w:val="20"/>
        </w:rPr>
      </w:pPr>
    </w:p>
    <w:p w14:paraId="01F6D69F" w14:textId="77777777" w:rsidR="00867FAC" w:rsidRDefault="00C7430F"/>
    <w:sectPr w:rsidR="00867FAC" w:rsidSect="00F72353">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6E4F" w14:textId="77777777" w:rsidR="00000000" w:rsidRDefault="00C7430F">
      <w:r>
        <w:separator/>
      </w:r>
    </w:p>
  </w:endnote>
  <w:endnote w:type="continuationSeparator" w:id="0">
    <w:p w14:paraId="67235607" w14:textId="77777777" w:rsidR="00000000" w:rsidRDefault="00C7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448F" w14:textId="77777777" w:rsidR="00BE0299" w:rsidRDefault="00C7430F" w:rsidP="007945F7">
    <w:pPr>
      <w:pStyle w:val="Footer"/>
      <w:jc w:val="right"/>
      <w:rPr>
        <w:rFonts w:ascii="Calibri" w:hAnsi="Calibri" w:cs="Calibri"/>
        <w:color w:val="517891"/>
        <w:sz w:val="16"/>
        <w:szCs w:val="16"/>
        <w:lang w:bidi="ar-SA"/>
      </w:rPr>
    </w:pPr>
  </w:p>
  <w:p w14:paraId="066DFFC3" w14:textId="77777777" w:rsidR="006F691D" w:rsidRPr="009776EF" w:rsidRDefault="003959A2"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3B6B3A83" wp14:editId="1BB0996C">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817BD"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A098" w14:textId="77777777" w:rsidR="00000000" w:rsidRDefault="00C7430F">
      <w:r>
        <w:separator/>
      </w:r>
    </w:p>
  </w:footnote>
  <w:footnote w:type="continuationSeparator" w:id="0">
    <w:p w14:paraId="5C955F32" w14:textId="77777777" w:rsidR="00000000" w:rsidRDefault="00C7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E64C" w14:textId="77777777" w:rsidR="006F691D" w:rsidRDefault="00C7430F">
    <w:pPr>
      <w:pStyle w:val="Header"/>
    </w:pPr>
    <w:r>
      <w:rPr>
        <w:noProof/>
      </w:rPr>
      <w:pict w14:anchorId="1F6C6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5B73" w14:textId="77777777" w:rsidR="003B2AE3" w:rsidRDefault="003959A2" w:rsidP="00A71264">
    <w:pPr>
      <w:pStyle w:val="Header"/>
      <w:jc w:val="right"/>
    </w:pPr>
    <w:r>
      <w:rPr>
        <w:noProof/>
      </w:rPr>
      <w:drawing>
        <wp:anchor distT="0" distB="0" distL="114300" distR="114300" simplePos="0" relativeHeight="251654656" behindDoc="1" locked="0" layoutInCell="1" allowOverlap="1" wp14:anchorId="4DF9BB2B" wp14:editId="008E410F">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35DA" w14:textId="77777777" w:rsidR="003B2AE3" w:rsidRDefault="00C7430F" w:rsidP="00A71264">
    <w:pPr>
      <w:pStyle w:val="Header"/>
      <w:jc w:val="right"/>
    </w:pPr>
  </w:p>
  <w:p w14:paraId="1166B554" w14:textId="77777777" w:rsidR="003B2AE3" w:rsidRPr="003B2AE3" w:rsidRDefault="003959A2"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6C628728" wp14:editId="1AE7F7E8">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29AE2"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01E2D5D" wp14:editId="30BF1776">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919DA"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2DF3D911" wp14:editId="7EDB3AC9">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A898B"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2C4715C8" w14:textId="77777777" w:rsidR="006F691D" w:rsidRPr="00C25833" w:rsidRDefault="003959A2"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CAE" w14:textId="77777777" w:rsidR="006F691D" w:rsidRDefault="00C7430F">
    <w:pPr>
      <w:pStyle w:val="Header"/>
    </w:pPr>
    <w:r>
      <w:rPr>
        <w:noProof/>
      </w:rPr>
      <w:pict w14:anchorId="1BD45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E57"/>
    <w:multiLevelType w:val="hybridMultilevel"/>
    <w:tmpl w:val="96663480"/>
    <w:lvl w:ilvl="0" w:tplc="620E331A">
      <w:start w:val="1"/>
      <w:numFmt w:val="bullet"/>
      <w:lvlText w:val=""/>
      <w:lvlJc w:val="left"/>
      <w:pPr>
        <w:ind w:left="720" w:hanging="360"/>
      </w:pPr>
      <w:rPr>
        <w:rFonts w:ascii="Symbol" w:hAnsi="Symbol" w:hint="default"/>
        <w:color w:val="808080" w:themeColor="background1" w:themeShade="80"/>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3"/>
    <w:rsid w:val="00012BE8"/>
    <w:rsid w:val="000C2234"/>
    <w:rsid w:val="001320B0"/>
    <w:rsid w:val="00143347"/>
    <w:rsid w:val="0017720D"/>
    <w:rsid w:val="00192B96"/>
    <w:rsid w:val="001B1E16"/>
    <w:rsid w:val="001C0A1C"/>
    <w:rsid w:val="002C4533"/>
    <w:rsid w:val="002C7C9F"/>
    <w:rsid w:val="002E3BD0"/>
    <w:rsid w:val="0030625D"/>
    <w:rsid w:val="00317673"/>
    <w:rsid w:val="00355621"/>
    <w:rsid w:val="003768AB"/>
    <w:rsid w:val="003922C4"/>
    <w:rsid w:val="003959A2"/>
    <w:rsid w:val="004A575A"/>
    <w:rsid w:val="004D6F44"/>
    <w:rsid w:val="004F33F8"/>
    <w:rsid w:val="00564E33"/>
    <w:rsid w:val="00582180"/>
    <w:rsid w:val="005C7717"/>
    <w:rsid w:val="005C7E56"/>
    <w:rsid w:val="006B3427"/>
    <w:rsid w:val="006E29FB"/>
    <w:rsid w:val="00735F11"/>
    <w:rsid w:val="0076357B"/>
    <w:rsid w:val="00763730"/>
    <w:rsid w:val="007A3F23"/>
    <w:rsid w:val="008243B5"/>
    <w:rsid w:val="00877793"/>
    <w:rsid w:val="008811C0"/>
    <w:rsid w:val="008B22CB"/>
    <w:rsid w:val="008D7F2A"/>
    <w:rsid w:val="00956970"/>
    <w:rsid w:val="00A040CA"/>
    <w:rsid w:val="00A2638B"/>
    <w:rsid w:val="00A80F35"/>
    <w:rsid w:val="00B0104E"/>
    <w:rsid w:val="00BF1C9C"/>
    <w:rsid w:val="00C25D24"/>
    <w:rsid w:val="00C7430F"/>
    <w:rsid w:val="00C76A6F"/>
    <w:rsid w:val="00D008B3"/>
    <w:rsid w:val="00D03833"/>
    <w:rsid w:val="00EB368A"/>
    <w:rsid w:val="00EE218D"/>
    <w:rsid w:val="00F318D5"/>
    <w:rsid w:val="00F32AA1"/>
    <w:rsid w:val="00F74D11"/>
    <w:rsid w:val="00F94109"/>
    <w:rsid w:val="00FB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03996"/>
  <w15:chartTrackingRefBased/>
  <w15:docId w15:val="{518D8994-EE81-4E6E-97C9-6A41B7A6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73"/>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73"/>
    <w:pPr>
      <w:ind w:left="720"/>
      <w:contextualSpacing/>
    </w:pPr>
  </w:style>
  <w:style w:type="paragraph" w:styleId="Header">
    <w:name w:val="header"/>
    <w:basedOn w:val="Normal"/>
    <w:link w:val="HeaderChar"/>
    <w:uiPriority w:val="99"/>
    <w:semiHidden/>
    <w:unhideWhenUsed/>
    <w:rsid w:val="00317673"/>
    <w:pPr>
      <w:tabs>
        <w:tab w:val="center" w:pos="4680"/>
        <w:tab w:val="right" w:pos="9360"/>
      </w:tabs>
    </w:pPr>
  </w:style>
  <w:style w:type="character" w:customStyle="1" w:styleId="HeaderChar">
    <w:name w:val="Header Char"/>
    <w:basedOn w:val="DefaultParagraphFont"/>
    <w:link w:val="Header"/>
    <w:uiPriority w:val="99"/>
    <w:semiHidden/>
    <w:rsid w:val="00317673"/>
    <w:rPr>
      <w:rFonts w:cs="Times New Roman"/>
      <w:sz w:val="24"/>
      <w:szCs w:val="24"/>
      <w:lang w:bidi="en-US"/>
    </w:rPr>
  </w:style>
  <w:style w:type="paragraph" w:styleId="Footer">
    <w:name w:val="footer"/>
    <w:basedOn w:val="Normal"/>
    <w:link w:val="FooterChar"/>
    <w:uiPriority w:val="99"/>
    <w:unhideWhenUsed/>
    <w:rsid w:val="00317673"/>
    <w:pPr>
      <w:tabs>
        <w:tab w:val="center" w:pos="4680"/>
        <w:tab w:val="right" w:pos="9360"/>
      </w:tabs>
    </w:pPr>
  </w:style>
  <w:style w:type="character" w:customStyle="1" w:styleId="FooterChar">
    <w:name w:val="Footer Char"/>
    <w:basedOn w:val="DefaultParagraphFont"/>
    <w:link w:val="Footer"/>
    <w:uiPriority w:val="99"/>
    <w:rsid w:val="00317673"/>
    <w:rPr>
      <w:rFonts w:cs="Times New Roman"/>
      <w:sz w:val="24"/>
      <w:szCs w:val="24"/>
      <w:lang w:bidi="en-US"/>
    </w:rPr>
  </w:style>
  <w:style w:type="character" w:styleId="Hyperlink">
    <w:name w:val="Hyperlink"/>
    <w:basedOn w:val="DefaultParagraphFont"/>
    <w:uiPriority w:val="99"/>
    <w:unhideWhenUsed/>
    <w:rsid w:val="00317673"/>
    <w:rPr>
      <w:color w:val="0563C1" w:themeColor="hyperlink"/>
      <w:u w:val="single"/>
    </w:rPr>
  </w:style>
  <w:style w:type="paragraph" w:styleId="NoSpacing">
    <w:name w:val="No Spacing"/>
    <w:uiPriority w:val="1"/>
    <w:qFormat/>
    <w:rsid w:val="00317673"/>
    <w:pPr>
      <w:spacing w:after="0" w:line="240" w:lineRule="auto"/>
    </w:pPr>
    <w:rPr>
      <w:rFonts w:cs="Times New Roman"/>
      <w:sz w:val="24"/>
      <w:szCs w:val="24"/>
      <w:lang w:bidi="en-US"/>
    </w:rPr>
  </w:style>
  <w:style w:type="character" w:styleId="UnresolvedMention">
    <w:name w:val="Unresolved Mention"/>
    <w:basedOn w:val="DefaultParagraphFont"/>
    <w:uiPriority w:val="99"/>
    <w:semiHidden/>
    <w:unhideWhenUsed/>
    <w:rsid w:val="00317673"/>
    <w:rPr>
      <w:color w:val="605E5C"/>
      <w:shd w:val="clear" w:color="auto" w:fill="E1DFDD"/>
    </w:rPr>
  </w:style>
  <w:style w:type="character" w:styleId="FollowedHyperlink">
    <w:name w:val="FollowedHyperlink"/>
    <w:basedOn w:val="DefaultParagraphFont"/>
    <w:uiPriority w:val="99"/>
    <w:semiHidden/>
    <w:unhideWhenUsed/>
    <w:rsid w:val="00BF1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all%20the%20JAN%20network:%20https:/askjan.org/info-by-role.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tscatapult.org/toolkits/covid-and-pandemic-toolk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l.gov/sites/dolgov/files/EBSA/about-ebsa/our-activities/resource-center/faqs/aca-part-5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07717-C8AC-489A-82F3-4B8C3F03FA71}">
  <ds:schemaRefs>
    <ds:schemaRef ds:uri="http://schemas.microsoft.com/sharepoint/v3/contenttype/forms"/>
  </ds:schemaRefs>
</ds:datastoreItem>
</file>

<file path=customXml/itemProps2.xml><?xml version="1.0" encoding="utf-8"?>
<ds:datastoreItem xmlns:ds="http://schemas.openxmlformats.org/officeDocument/2006/customXml" ds:itemID="{870D59EB-F2BE-440C-BCF6-DB8BDA10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03700-02B5-4899-8450-50D26CC90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Kathryn Sears</cp:lastModifiedBy>
  <cp:revision>21</cp:revision>
  <dcterms:created xsi:type="dcterms:W3CDTF">2021-10-15T12:06:00Z</dcterms:created>
  <dcterms:modified xsi:type="dcterms:W3CDTF">2021-10-15T12:34:00Z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