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2F3454DE" w:rsidR="00D07A79" w:rsidRPr="00933510" w:rsidRDefault="00D8697F" w:rsidP="00D07A79">
      <w:pPr>
        <w:rPr>
          <w:b/>
          <w:bCs/>
          <w:color w:val="440056"/>
        </w:rPr>
      </w:pPr>
      <w:r>
        <w:rPr>
          <w:b/>
          <w:bCs/>
          <w:color w:val="440056"/>
        </w:rPr>
        <w:t>When to Record Work Restrictions on OSHA 300 Log</w:t>
      </w:r>
    </w:p>
    <w:p w14:paraId="2D46BB8B" w14:textId="77777777" w:rsidR="001B2F8E" w:rsidRDefault="001B2F8E" w:rsidP="001B2F8E">
      <w:pPr>
        <w:rPr>
          <w:color w:val="666666"/>
          <w:sz w:val="20"/>
          <w:szCs w:val="20"/>
        </w:rPr>
      </w:pPr>
    </w:p>
    <w:p w14:paraId="2948ED79" w14:textId="77777777" w:rsidR="00D85288" w:rsidRDefault="00D85288" w:rsidP="00D8697F">
      <w:pPr>
        <w:rPr>
          <w:color w:val="666666"/>
          <w:sz w:val="20"/>
          <w:szCs w:val="20"/>
        </w:rPr>
      </w:pPr>
      <w:r>
        <w:rPr>
          <w:color w:val="666666"/>
          <w:sz w:val="20"/>
          <w:szCs w:val="20"/>
        </w:rPr>
        <w:t xml:space="preserve">Catapult Advisors </w:t>
      </w:r>
      <w:r w:rsidR="00D8697F" w:rsidRPr="00D8697F">
        <w:rPr>
          <w:color w:val="666666"/>
          <w:sz w:val="20"/>
          <w:szCs w:val="20"/>
        </w:rPr>
        <w:t>occasionally receives questions about recording employee work restrictions on the OSHA 300 (</w:t>
      </w:r>
      <w:r w:rsidR="00D8697F" w:rsidRPr="00D8697F">
        <w:rPr>
          <w:i/>
          <w:iCs/>
          <w:color w:val="666666"/>
          <w:sz w:val="20"/>
          <w:szCs w:val="20"/>
        </w:rPr>
        <w:t>Log of Work-Related Injuries and Illnesses).</w:t>
      </w:r>
      <w:r w:rsidR="00D8697F" w:rsidRPr="00D8697F">
        <w:rPr>
          <w:color w:val="666666"/>
          <w:sz w:val="20"/>
          <w:szCs w:val="20"/>
        </w:rPr>
        <w:t> </w:t>
      </w:r>
    </w:p>
    <w:p w14:paraId="20DB9F73" w14:textId="77777777" w:rsidR="00D85288" w:rsidRDefault="00D85288" w:rsidP="00D8697F">
      <w:pPr>
        <w:rPr>
          <w:color w:val="666666"/>
          <w:sz w:val="20"/>
          <w:szCs w:val="20"/>
        </w:rPr>
      </w:pPr>
    </w:p>
    <w:p w14:paraId="2FAA9344" w14:textId="2292916F" w:rsidR="00D8697F" w:rsidRDefault="00D8697F" w:rsidP="00D8697F">
      <w:pPr>
        <w:rPr>
          <w:i/>
          <w:iCs/>
          <w:color w:val="666666"/>
          <w:sz w:val="20"/>
          <w:szCs w:val="20"/>
        </w:rPr>
      </w:pPr>
      <w:r w:rsidRPr="00D8697F">
        <w:rPr>
          <w:color w:val="666666"/>
          <w:sz w:val="20"/>
          <w:szCs w:val="20"/>
        </w:rPr>
        <w:t>Employee work restrictions due to occupational injury or illness need to be recorded on the OSHA 300 if the restriction affects one or more of an employee’s routine job functions (</w:t>
      </w:r>
      <w:r w:rsidRPr="00D8697F">
        <w:rPr>
          <w:i/>
          <w:iCs/>
          <w:color w:val="666666"/>
          <w:sz w:val="20"/>
          <w:szCs w:val="20"/>
        </w:rPr>
        <w:t>C</w:t>
      </w:r>
      <w:r w:rsidR="00D85288">
        <w:rPr>
          <w:i/>
          <w:iCs/>
          <w:color w:val="666666"/>
          <w:sz w:val="20"/>
          <w:szCs w:val="20"/>
        </w:rPr>
        <w:t xml:space="preserve">atapult </w:t>
      </w:r>
      <w:r w:rsidRPr="00D8697F">
        <w:rPr>
          <w:i/>
          <w:iCs/>
          <w:color w:val="666666"/>
          <w:sz w:val="20"/>
          <w:szCs w:val="20"/>
        </w:rPr>
        <w:t xml:space="preserve">recommends that the attending physician understand what the employee duties are and the related physical and mental requirements </w:t>
      </w:r>
      <w:r w:rsidR="00E120B0">
        <w:rPr>
          <w:i/>
          <w:iCs/>
          <w:color w:val="666666"/>
          <w:sz w:val="20"/>
          <w:szCs w:val="20"/>
        </w:rPr>
        <w:t>– a clear job description should be sent to the physician.)</w:t>
      </w:r>
    </w:p>
    <w:p w14:paraId="759CFC93" w14:textId="77777777" w:rsidR="00E120B0" w:rsidRPr="00D8697F" w:rsidRDefault="00E120B0" w:rsidP="00D8697F">
      <w:pPr>
        <w:rPr>
          <w:color w:val="666666"/>
          <w:sz w:val="20"/>
          <w:szCs w:val="20"/>
        </w:rPr>
      </w:pPr>
    </w:p>
    <w:p w14:paraId="459CDD83" w14:textId="5B7DD446" w:rsidR="00E02FBC" w:rsidRDefault="00D75B9B" w:rsidP="00D8697F">
      <w:pPr>
        <w:rPr>
          <w:color w:val="666666"/>
          <w:sz w:val="20"/>
          <w:szCs w:val="20"/>
        </w:rPr>
      </w:pPr>
      <w:r>
        <w:rPr>
          <w:color w:val="666666"/>
          <w:sz w:val="20"/>
          <w:szCs w:val="20"/>
        </w:rPr>
        <w:t>Even if a physician requirement that reduces the amount of such work that can be performed should be considered a restriction. As an example, s</w:t>
      </w:r>
      <w:r w:rsidR="00D8697F" w:rsidRPr="00D8697F">
        <w:rPr>
          <w:color w:val="666666"/>
          <w:sz w:val="20"/>
          <w:szCs w:val="20"/>
        </w:rPr>
        <w:t xml:space="preserve">ometimes a physician will restrict an employee from working the employee’s normal full day.  Employers, on occasion, may temporarily transfer an employee with restrictions to another position. These two scenarios should also be recorded as restricted activity on the log.  </w:t>
      </w:r>
    </w:p>
    <w:p w14:paraId="223984BD" w14:textId="77777777" w:rsidR="00E02FBC" w:rsidRDefault="00E02FBC" w:rsidP="00D8697F">
      <w:pPr>
        <w:rPr>
          <w:color w:val="666666"/>
          <w:sz w:val="20"/>
          <w:szCs w:val="20"/>
        </w:rPr>
      </w:pPr>
    </w:p>
    <w:p w14:paraId="535A9A40" w14:textId="2C0041AB" w:rsidR="00D75B9B" w:rsidRDefault="00D8697F" w:rsidP="00D8697F">
      <w:pPr>
        <w:rPr>
          <w:color w:val="666666"/>
          <w:sz w:val="20"/>
          <w:szCs w:val="20"/>
        </w:rPr>
      </w:pPr>
      <w:r w:rsidRPr="00D8697F">
        <w:rPr>
          <w:color w:val="666666"/>
          <w:sz w:val="20"/>
          <w:szCs w:val="20"/>
        </w:rPr>
        <w:t>If you permanently assign the injured or ill employee to a job that has been modified or accommodates the employee’s restrictions, you may stop the restriction day count when the transfer is made permanent.</w:t>
      </w:r>
      <w:r w:rsidR="00D75B9B">
        <w:rPr>
          <w:color w:val="666666"/>
          <w:sz w:val="20"/>
          <w:szCs w:val="20"/>
        </w:rPr>
        <w:t xml:space="preserve"> Essentially, the worker is no longer in restricted duty for their current “true” position at that time.</w:t>
      </w:r>
      <w:r w:rsidRPr="00D8697F">
        <w:rPr>
          <w:color w:val="666666"/>
          <w:sz w:val="20"/>
          <w:szCs w:val="20"/>
        </w:rPr>
        <w:t xml:space="preserve">  </w:t>
      </w:r>
    </w:p>
    <w:p w14:paraId="05AC5A2F" w14:textId="77777777" w:rsidR="00D75B9B" w:rsidRDefault="00D75B9B" w:rsidP="00D8697F">
      <w:pPr>
        <w:rPr>
          <w:color w:val="666666"/>
          <w:sz w:val="20"/>
          <w:szCs w:val="20"/>
        </w:rPr>
      </w:pPr>
    </w:p>
    <w:p w14:paraId="3DE05931" w14:textId="20E40654" w:rsidR="00D8697F" w:rsidRDefault="00D8697F" w:rsidP="00D8697F">
      <w:pPr>
        <w:rPr>
          <w:color w:val="666666"/>
          <w:sz w:val="20"/>
          <w:szCs w:val="20"/>
        </w:rPr>
      </w:pPr>
      <w:r w:rsidRPr="00D8697F">
        <w:rPr>
          <w:color w:val="666666"/>
          <w:sz w:val="20"/>
          <w:szCs w:val="20"/>
        </w:rPr>
        <w:t>You must however, count at least one day of restricted work or job transfer for such cases.  Weekends and holidays should also be included when counting days of restricted activity.</w:t>
      </w:r>
    </w:p>
    <w:p w14:paraId="66D389BF" w14:textId="77777777" w:rsidR="00D75B9B" w:rsidRPr="00D8697F" w:rsidRDefault="00D75B9B" w:rsidP="00D8697F">
      <w:pPr>
        <w:rPr>
          <w:color w:val="666666"/>
          <w:sz w:val="20"/>
          <w:szCs w:val="20"/>
        </w:rPr>
      </w:pPr>
    </w:p>
    <w:p w14:paraId="62CA7D32" w14:textId="1CCD22FE" w:rsidR="00D8697F" w:rsidRPr="00D75B9B" w:rsidRDefault="00D8697F" w:rsidP="00D8697F">
      <w:pPr>
        <w:rPr>
          <w:color w:val="666666"/>
          <w:sz w:val="20"/>
          <w:szCs w:val="20"/>
        </w:rPr>
      </w:pPr>
      <w:r w:rsidRPr="00D8697F">
        <w:rPr>
          <w:color w:val="666666"/>
          <w:sz w:val="20"/>
          <w:szCs w:val="20"/>
        </w:rPr>
        <w:t>Work restrictions that </w:t>
      </w:r>
      <w:r w:rsidRPr="00D8697F">
        <w:rPr>
          <w:i/>
          <w:iCs/>
          <w:color w:val="666666"/>
          <w:sz w:val="20"/>
          <w:szCs w:val="20"/>
        </w:rPr>
        <w:t>do not affect</w:t>
      </w:r>
      <w:r w:rsidRPr="00D8697F">
        <w:rPr>
          <w:color w:val="666666"/>
          <w:sz w:val="20"/>
          <w:szCs w:val="20"/>
        </w:rPr>
        <w:t> any of an employee’s routine job functions or do not prevent an employee from working a normal workday </w:t>
      </w:r>
      <w:r w:rsidRPr="00D8697F">
        <w:rPr>
          <w:i/>
          <w:iCs/>
          <w:color w:val="666666"/>
          <w:sz w:val="20"/>
          <w:szCs w:val="20"/>
        </w:rPr>
        <w:t>need not be recorded.</w:t>
      </w:r>
      <w:r w:rsidR="00D75B9B">
        <w:rPr>
          <w:color w:val="666666"/>
          <w:sz w:val="20"/>
          <w:szCs w:val="20"/>
        </w:rPr>
        <w:t xml:space="preserve"> As an example, an office employee who is told not to lift more than 50 lbs. likely is not changing her routine job duties to ensure that restriction is accommodated.</w:t>
      </w:r>
    </w:p>
    <w:p w14:paraId="45265164" w14:textId="77777777" w:rsidR="00D75B9B" w:rsidRPr="00D8697F" w:rsidRDefault="00D75B9B" w:rsidP="00D8697F">
      <w:pPr>
        <w:rPr>
          <w:color w:val="666666"/>
          <w:sz w:val="20"/>
          <w:szCs w:val="20"/>
        </w:rPr>
      </w:pPr>
    </w:p>
    <w:p w14:paraId="0D31E38C" w14:textId="3BD30711" w:rsidR="00D8697F" w:rsidRDefault="00D8697F" w:rsidP="00D8697F">
      <w:pPr>
        <w:rPr>
          <w:color w:val="666666"/>
          <w:sz w:val="20"/>
          <w:szCs w:val="20"/>
        </w:rPr>
      </w:pPr>
      <w:r w:rsidRPr="00D8697F">
        <w:rPr>
          <w:color w:val="666666"/>
          <w:sz w:val="20"/>
          <w:szCs w:val="20"/>
        </w:rPr>
        <w:t>For more information about OSHA recordkeeping requirements go </w:t>
      </w:r>
      <w:hyperlink r:id="rId10" w:tgtFrame="_blank" w:history="1">
        <w:r w:rsidRPr="00D8697F">
          <w:rPr>
            <w:rStyle w:val="Hyperlink"/>
            <w:sz w:val="20"/>
            <w:szCs w:val="20"/>
          </w:rPr>
          <w:t>he</w:t>
        </w:r>
        <w:r w:rsidRPr="00D8697F">
          <w:rPr>
            <w:rStyle w:val="Hyperlink"/>
            <w:sz w:val="20"/>
            <w:szCs w:val="20"/>
          </w:rPr>
          <w:t>r</w:t>
        </w:r>
        <w:r w:rsidRPr="00D8697F">
          <w:rPr>
            <w:rStyle w:val="Hyperlink"/>
            <w:sz w:val="20"/>
            <w:szCs w:val="20"/>
          </w:rPr>
          <w:t>e</w:t>
        </w:r>
      </w:hyperlink>
      <w:r w:rsidRPr="00D8697F">
        <w:rPr>
          <w:color w:val="666666"/>
          <w:sz w:val="20"/>
          <w:szCs w:val="20"/>
        </w:rPr>
        <w:t>.</w:t>
      </w:r>
    </w:p>
    <w:p w14:paraId="76763539" w14:textId="77777777" w:rsidR="00D75B9B" w:rsidRPr="00D8697F" w:rsidRDefault="00D75B9B" w:rsidP="00D8697F">
      <w:pPr>
        <w:rPr>
          <w:color w:val="666666"/>
          <w:sz w:val="20"/>
          <w:szCs w:val="20"/>
        </w:rPr>
      </w:pPr>
    </w:p>
    <w:p w14:paraId="010854C8" w14:textId="623F51EE" w:rsidR="00154F6B" w:rsidRDefault="00154F6B" w:rsidP="00D8697F">
      <w:pPr>
        <w:rPr>
          <w:color w:val="666666"/>
          <w:sz w:val="20"/>
          <w:szCs w:val="20"/>
        </w:rPr>
      </w:pPr>
      <w:r>
        <w:rPr>
          <w:color w:val="666666"/>
          <w:sz w:val="20"/>
          <w:szCs w:val="20"/>
        </w:rPr>
        <w:t>Written by a Catapult Advisor.</w:t>
      </w:r>
    </w:p>
    <w:p w14:paraId="32370648" w14:textId="03F8C470" w:rsidR="00154F6B" w:rsidRDefault="00154F6B" w:rsidP="00D8697F">
      <w:pPr>
        <w:rPr>
          <w:color w:val="666666"/>
          <w:sz w:val="20"/>
          <w:szCs w:val="20"/>
        </w:rPr>
      </w:pPr>
    </w:p>
    <w:p w14:paraId="7994ACB7" w14:textId="4B6BB046" w:rsidR="00154F6B" w:rsidRPr="00D8697F" w:rsidRDefault="00154F6B" w:rsidP="00D8697F">
      <w:pPr>
        <w:rPr>
          <w:color w:val="666666"/>
          <w:sz w:val="20"/>
          <w:szCs w:val="20"/>
        </w:rPr>
      </w:pPr>
      <w:r>
        <w:rPr>
          <w:color w:val="666666"/>
          <w:sz w:val="20"/>
          <w:szCs w:val="20"/>
        </w:rPr>
        <w:t>Reviewed for NC/SC law only.</w:t>
      </w:r>
    </w:p>
    <w:p w14:paraId="0AD2A6B6" w14:textId="2E5D2D7C" w:rsidR="00461D9C" w:rsidRPr="00872482" w:rsidRDefault="00154F6B" w:rsidP="001B2F8E">
      <w:pPr>
        <w:rPr>
          <w:color w:val="666666"/>
          <w:sz w:val="20"/>
          <w:szCs w:val="20"/>
        </w:rPr>
      </w:pPr>
    </w:p>
    <w:sectPr w:rsidR="00461D9C" w:rsidRPr="00872482"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4430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154F6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B4F2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41D1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6C3A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154F6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907"/>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0538"/>
    <w:multiLevelType w:val="multilevel"/>
    <w:tmpl w:val="E8F8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B24F2"/>
    <w:multiLevelType w:val="multilevel"/>
    <w:tmpl w:val="48A6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01529"/>
    <w:multiLevelType w:val="hybridMultilevel"/>
    <w:tmpl w:val="17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6CAA"/>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B00"/>
    <w:multiLevelType w:val="multilevel"/>
    <w:tmpl w:val="90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754108"/>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85141"/>
    <w:multiLevelType w:val="hybridMultilevel"/>
    <w:tmpl w:val="CB8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A444A"/>
    <w:multiLevelType w:val="multilevel"/>
    <w:tmpl w:val="1F1A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570FCC"/>
    <w:multiLevelType w:val="multilevel"/>
    <w:tmpl w:val="7FE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62EE6"/>
    <w:multiLevelType w:val="multilevel"/>
    <w:tmpl w:val="E55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0515C"/>
    <w:multiLevelType w:val="multilevel"/>
    <w:tmpl w:val="E7C0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2B9F"/>
    <w:multiLevelType w:val="multilevel"/>
    <w:tmpl w:val="7EC6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E409A"/>
    <w:multiLevelType w:val="multilevel"/>
    <w:tmpl w:val="0CEE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96C7D"/>
    <w:multiLevelType w:val="hybridMultilevel"/>
    <w:tmpl w:val="8614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1190"/>
    <w:multiLevelType w:val="multilevel"/>
    <w:tmpl w:val="D898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062F0"/>
    <w:multiLevelType w:val="multilevel"/>
    <w:tmpl w:val="CD049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E279E"/>
    <w:multiLevelType w:val="multilevel"/>
    <w:tmpl w:val="27B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82489"/>
    <w:multiLevelType w:val="multilevel"/>
    <w:tmpl w:val="914C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753745"/>
    <w:multiLevelType w:val="multilevel"/>
    <w:tmpl w:val="47A4C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44C1D"/>
    <w:multiLevelType w:val="multilevel"/>
    <w:tmpl w:val="997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10A98"/>
    <w:multiLevelType w:val="multilevel"/>
    <w:tmpl w:val="4E36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36"/>
  </w:num>
  <w:num w:numId="5">
    <w:abstractNumId w:val="10"/>
  </w:num>
  <w:num w:numId="6">
    <w:abstractNumId w:val="8"/>
  </w:num>
  <w:num w:numId="7">
    <w:abstractNumId w:val="1"/>
  </w:num>
  <w:num w:numId="8">
    <w:abstractNumId w:val="9"/>
  </w:num>
  <w:num w:numId="9">
    <w:abstractNumId w:val="7"/>
  </w:num>
  <w:num w:numId="10">
    <w:abstractNumId w:val="17"/>
  </w:num>
  <w:num w:numId="11">
    <w:abstractNumId w:val="27"/>
  </w:num>
  <w:num w:numId="12">
    <w:abstractNumId w:val="24"/>
  </w:num>
  <w:num w:numId="13">
    <w:abstractNumId w:val="33"/>
  </w:num>
  <w:num w:numId="14">
    <w:abstractNumId w:val="13"/>
  </w:num>
  <w:num w:numId="15">
    <w:abstractNumId w:val="37"/>
  </w:num>
  <w:num w:numId="16">
    <w:abstractNumId w:val="31"/>
  </w:num>
  <w:num w:numId="17">
    <w:abstractNumId w:val="18"/>
  </w:num>
  <w:num w:numId="18">
    <w:abstractNumId w:val="22"/>
  </w:num>
  <w:num w:numId="19">
    <w:abstractNumId w:val="16"/>
  </w:num>
  <w:num w:numId="20">
    <w:abstractNumId w:val="2"/>
  </w:num>
  <w:num w:numId="21">
    <w:abstractNumId w:val="19"/>
  </w:num>
  <w:num w:numId="22">
    <w:abstractNumId w:val="32"/>
  </w:num>
  <w:num w:numId="23">
    <w:abstractNumId w:val="35"/>
  </w:num>
  <w:num w:numId="24">
    <w:abstractNumId w:val="29"/>
  </w:num>
  <w:num w:numId="25">
    <w:abstractNumId w:val="20"/>
  </w:num>
  <w:num w:numId="26">
    <w:abstractNumId w:val="23"/>
  </w:num>
  <w:num w:numId="27">
    <w:abstractNumId w:val="39"/>
  </w:num>
  <w:num w:numId="28">
    <w:abstractNumId w:val="4"/>
  </w:num>
  <w:num w:numId="29">
    <w:abstractNumId w:val="28"/>
  </w:num>
  <w:num w:numId="30">
    <w:abstractNumId w:val="25"/>
  </w:num>
  <w:num w:numId="31">
    <w:abstractNumId w:val="21"/>
  </w:num>
  <w:num w:numId="32">
    <w:abstractNumId w:val="30"/>
  </w:num>
  <w:num w:numId="33">
    <w:abstractNumId w:val="5"/>
  </w:num>
  <w:num w:numId="34">
    <w:abstractNumId w:val="40"/>
  </w:num>
  <w:num w:numId="35">
    <w:abstractNumId w:val="41"/>
  </w:num>
  <w:num w:numId="36">
    <w:abstractNumId w:val="38"/>
  </w:num>
  <w:num w:numId="37">
    <w:abstractNumId w:val="34"/>
  </w:num>
  <w:num w:numId="38">
    <w:abstractNumId w:val="6"/>
  </w:num>
  <w:num w:numId="39">
    <w:abstractNumId w:val="3"/>
  </w:num>
  <w:num w:numId="40">
    <w:abstractNumId w:val="11"/>
  </w:num>
  <w:num w:numId="41">
    <w:abstractNumId w:val="14"/>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5FAE"/>
    <w:rsid w:val="000A0B2D"/>
    <w:rsid w:val="000A4E27"/>
    <w:rsid w:val="001202B2"/>
    <w:rsid w:val="00154F6B"/>
    <w:rsid w:val="00163C29"/>
    <w:rsid w:val="001821AF"/>
    <w:rsid w:val="001B2F8E"/>
    <w:rsid w:val="001C0B5D"/>
    <w:rsid w:val="002137AC"/>
    <w:rsid w:val="00240991"/>
    <w:rsid w:val="00290988"/>
    <w:rsid w:val="0029621E"/>
    <w:rsid w:val="002C237F"/>
    <w:rsid w:val="00340339"/>
    <w:rsid w:val="00340F57"/>
    <w:rsid w:val="003B2AE3"/>
    <w:rsid w:val="00400629"/>
    <w:rsid w:val="0044286D"/>
    <w:rsid w:val="0047661F"/>
    <w:rsid w:val="00495685"/>
    <w:rsid w:val="004C1A9B"/>
    <w:rsid w:val="004D2467"/>
    <w:rsid w:val="004D6C9F"/>
    <w:rsid w:val="004F2E5E"/>
    <w:rsid w:val="005412B8"/>
    <w:rsid w:val="00572AB9"/>
    <w:rsid w:val="00596823"/>
    <w:rsid w:val="00597888"/>
    <w:rsid w:val="005A1E1F"/>
    <w:rsid w:val="005A5A17"/>
    <w:rsid w:val="005B6C2D"/>
    <w:rsid w:val="00616E4A"/>
    <w:rsid w:val="006A24F6"/>
    <w:rsid w:val="006A767E"/>
    <w:rsid w:val="00745AC7"/>
    <w:rsid w:val="007636AB"/>
    <w:rsid w:val="007945F7"/>
    <w:rsid w:val="007A6145"/>
    <w:rsid w:val="007D696B"/>
    <w:rsid w:val="007E0C3E"/>
    <w:rsid w:val="007E42A3"/>
    <w:rsid w:val="0084373E"/>
    <w:rsid w:val="008548D5"/>
    <w:rsid w:val="00854AED"/>
    <w:rsid w:val="00872482"/>
    <w:rsid w:val="00883111"/>
    <w:rsid w:val="008950E6"/>
    <w:rsid w:val="0090639C"/>
    <w:rsid w:val="00933510"/>
    <w:rsid w:val="009559A8"/>
    <w:rsid w:val="009776EF"/>
    <w:rsid w:val="009B32AA"/>
    <w:rsid w:val="009B39B2"/>
    <w:rsid w:val="009E4AB5"/>
    <w:rsid w:val="00A11EAF"/>
    <w:rsid w:val="00A645C0"/>
    <w:rsid w:val="00A64E8E"/>
    <w:rsid w:val="00A71264"/>
    <w:rsid w:val="00AB16B5"/>
    <w:rsid w:val="00AE5D3D"/>
    <w:rsid w:val="00B26E6A"/>
    <w:rsid w:val="00B56B1A"/>
    <w:rsid w:val="00B6291D"/>
    <w:rsid w:val="00B9123C"/>
    <w:rsid w:val="00BB0A73"/>
    <w:rsid w:val="00BE0299"/>
    <w:rsid w:val="00C21AC8"/>
    <w:rsid w:val="00C25833"/>
    <w:rsid w:val="00C81BEC"/>
    <w:rsid w:val="00CA033A"/>
    <w:rsid w:val="00CA79C3"/>
    <w:rsid w:val="00CC2425"/>
    <w:rsid w:val="00CC2BBF"/>
    <w:rsid w:val="00D06DCD"/>
    <w:rsid w:val="00D07A79"/>
    <w:rsid w:val="00D6018A"/>
    <w:rsid w:val="00D75B9B"/>
    <w:rsid w:val="00D85288"/>
    <w:rsid w:val="00D8697F"/>
    <w:rsid w:val="00D957F4"/>
    <w:rsid w:val="00DB4EE6"/>
    <w:rsid w:val="00E02FBC"/>
    <w:rsid w:val="00E120B0"/>
    <w:rsid w:val="00E24988"/>
    <w:rsid w:val="00E50642"/>
    <w:rsid w:val="00E86856"/>
    <w:rsid w:val="00EC6134"/>
    <w:rsid w:val="00ED2BA7"/>
    <w:rsid w:val="00EF6625"/>
    <w:rsid w:val="00F3131D"/>
    <w:rsid w:val="00F72353"/>
    <w:rsid w:val="00F925D1"/>
    <w:rsid w:val="00FC3184"/>
    <w:rsid w:val="00FC396B"/>
    <w:rsid w:val="00FE1036"/>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1202B2"/>
    <w:rPr>
      <w:b/>
      <w:bCs/>
    </w:rPr>
  </w:style>
  <w:style w:type="character" w:styleId="Emphasis">
    <w:name w:val="Emphasis"/>
    <w:basedOn w:val="DefaultParagraphFont"/>
    <w:uiPriority w:val="20"/>
    <w:qFormat/>
    <w:rsid w:val="001202B2"/>
    <w:rPr>
      <w:i/>
      <w:iCs/>
    </w:rPr>
  </w:style>
  <w:style w:type="character" w:styleId="FollowedHyperlink">
    <w:name w:val="FollowedHyperlink"/>
    <w:basedOn w:val="DefaultParagraphFont"/>
    <w:uiPriority w:val="99"/>
    <w:semiHidden/>
    <w:unhideWhenUsed/>
    <w:rsid w:val="00D75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09403909">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4768932">
      <w:bodyDiv w:val="1"/>
      <w:marLeft w:val="0"/>
      <w:marRight w:val="0"/>
      <w:marTop w:val="0"/>
      <w:marBottom w:val="0"/>
      <w:divBdr>
        <w:top w:val="none" w:sz="0" w:space="0" w:color="auto"/>
        <w:left w:val="none" w:sz="0" w:space="0" w:color="auto"/>
        <w:bottom w:val="none" w:sz="0" w:space="0" w:color="auto"/>
        <w:right w:val="none" w:sz="0" w:space="0" w:color="auto"/>
      </w:divBdr>
    </w:div>
    <w:div w:id="448087248">
      <w:bodyDiv w:val="1"/>
      <w:marLeft w:val="0"/>
      <w:marRight w:val="0"/>
      <w:marTop w:val="0"/>
      <w:marBottom w:val="0"/>
      <w:divBdr>
        <w:top w:val="none" w:sz="0" w:space="0" w:color="auto"/>
        <w:left w:val="none" w:sz="0" w:space="0" w:color="auto"/>
        <w:bottom w:val="none" w:sz="0" w:space="0" w:color="auto"/>
        <w:right w:val="none" w:sz="0" w:space="0" w:color="auto"/>
      </w:divBdr>
    </w:div>
    <w:div w:id="549340158">
      <w:bodyDiv w:val="1"/>
      <w:marLeft w:val="0"/>
      <w:marRight w:val="0"/>
      <w:marTop w:val="0"/>
      <w:marBottom w:val="0"/>
      <w:divBdr>
        <w:top w:val="none" w:sz="0" w:space="0" w:color="auto"/>
        <w:left w:val="none" w:sz="0" w:space="0" w:color="auto"/>
        <w:bottom w:val="none" w:sz="0" w:space="0" w:color="auto"/>
        <w:right w:val="none" w:sz="0" w:space="0" w:color="auto"/>
      </w:divBdr>
    </w:div>
    <w:div w:id="576668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sha.gov/recordkeep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8</cp:revision>
  <dcterms:created xsi:type="dcterms:W3CDTF">2021-04-27T20:13:00Z</dcterms:created>
  <dcterms:modified xsi:type="dcterms:W3CDTF">2021-04-27T20:22:00Z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