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072E" w14:textId="19484D47" w:rsidR="009879B7" w:rsidRPr="009879B7" w:rsidRDefault="00C35316" w:rsidP="009879B7">
      <w:pPr>
        <w:rPr>
          <w:b/>
          <w:bCs/>
          <w:color w:val="440056"/>
        </w:rPr>
      </w:pPr>
      <w:r>
        <w:rPr>
          <w:b/>
          <w:bCs/>
          <w:color w:val="440056"/>
        </w:rPr>
        <w:t>Vaccine Mandate – Federal Contractors</w:t>
      </w:r>
    </w:p>
    <w:p w14:paraId="0AD2A6B6" w14:textId="7DDF7B07" w:rsidR="00461D9C" w:rsidRPr="00C35316" w:rsidRDefault="008D30BB" w:rsidP="00E30441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3DBD6DBE" w14:textId="075DA106" w:rsidR="004F0FE3" w:rsidRPr="00C35316" w:rsidRDefault="004F0FE3" w:rsidP="004F0FE3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  <w:r w:rsidRPr="00C35316">
        <w:rPr>
          <w:rFonts w:cs="Times New Roman (Body CS)"/>
          <w:color w:val="666666"/>
          <w:spacing w:val="20"/>
          <w:kern w:val="22"/>
          <w:sz w:val="20"/>
          <w:szCs w:val="20"/>
        </w:rPr>
        <w:t xml:space="preserve">In alignment with President Biden’s Executive Order, </w:t>
      </w:r>
      <w:r w:rsidR="00BA1A4E">
        <w:rPr>
          <w:rFonts w:cs="Times New Roman (Body CS)"/>
          <w:color w:val="666666"/>
          <w:spacing w:val="20"/>
          <w:kern w:val="22"/>
          <w:sz w:val="20"/>
          <w:szCs w:val="20"/>
        </w:rPr>
        <w:t>the</w:t>
      </w:r>
      <w:r w:rsidRPr="00C35316">
        <w:rPr>
          <w:rFonts w:cs="Times New Roman (Body CS)"/>
          <w:color w:val="666666"/>
          <w:spacing w:val="20"/>
          <w:kern w:val="22"/>
          <w:sz w:val="20"/>
          <w:szCs w:val="20"/>
        </w:rPr>
        <w:t xml:space="preserve"> requirements for federal contractors and subcontractors were released in </w:t>
      </w:r>
      <w:hyperlink r:id="rId7" w:tgtFrame="_blank" w:history="1">
        <w:r w:rsidRPr="00C35316">
          <w:rPr>
            <w:rFonts w:cs="Times New Roman (Body CS)"/>
            <w:color w:val="0070C0"/>
            <w:spacing w:val="20"/>
            <w:kern w:val="22"/>
          </w:rPr>
          <w:t>this document</w:t>
        </w:r>
      </w:hyperlink>
      <w:r w:rsidRPr="00C35316">
        <w:rPr>
          <w:rFonts w:cs="Times New Roman (Body CS)"/>
          <w:color w:val="666666"/>
          <w:spacing w:val="20"/>
          <w:kern w:val="22"/>
          <w:sz w:val="20"/>
          <w:szCs w:val="20"/>
        </w:rPr>
        <w:t xml:space="preserve">. </w:t>
      </w:r>
    </w:p>
    <w:p w14:paraId="41487231" w14:textId="77777777" w:rsidR="004F0FE3" w:rsidRDefault="004F0FE3" w:rsidP="004F0FE3">
      <w:pPr>
        <w:rPr>
          <w:bCs/>
          <w:color w:val="517891"/>
          <w:sz w:val="20"/>
          <w:szCs w:val="20"/>
        </w:rPr>
      </w:pPr>
    </w:p>
    <w:p w14:paraId="40E67949" w14:textId="2A9EDE90" w:rsidR="008D30BB" w:rsidRDefault="008D30BB" w:rsidP="004F0FE3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Update as of November 30</w:t>
      </w:r>
      <w:r w:rsidRPr="008D30BB">
        <w:rPr>
          <w:b/>
          <w:color w:val="FF0000"/>
          <w:sz w:val="20"/>
          <w:szCs w:val="20"/>
          <w:vertAlign w:val="superscript"/>
        </w:rPr>
        <w:t>th</w:t>
      </w:r>
      <w:r>
        <w:rPr>
          <w:b/>
          <w:color w:val="FF0000"/>
          <w:sz w:val="20"/>
          <w:szCs w:val="20"/>
        </w:rPr>
        <w:t xml:space="preserve">, 2021: A federal judge has enjoined the order from going into effect in Kentucky, </w:t>
      </w:r>
      <w:proofErr w:type="gramStart"/>
      <w:r>
        <w:rPr>
          <w:b/>
          <w:color w:val="FF0000"/>
          <w:sz w:val="20"/>
          <w:szCs w:val="20"/>
        </w:rPr>
        <w:t>Ohio</w:t>
      </w:r>
      <w:proofErr w:type="gramEnd"/>
      <w:r>
        <w:rPr>
          <w:b/>
          <w:color w:val="FF0000"/>
          <w:sz w:val="20"/>
          <w:szCs w:val="20"/>
        </w:rPr>
        <w:t xml:space="preserve"> and Tennessee, relieving contractors from implementing requirements in these states. In Tennessee, private employers are prohibited from requiring employees to show proof of COVID-19 vaccination.</w:t>
      </w:r>
    </w:p>
    <w:p w14:paraId="2BCD064B" w14:textId="77777777" w:rsidR="008D30BB" w:rsidRPr="008D30BB" w:rsidRDefault="008D30BB" w:rsidP="004F0FE3">
      <w:pPr>
        <w:rPr>
          <w:b/>
          <w:color w:val="FF0000"/>
          <w:sz w:val="20"/>
          <w:szCs w:val="20"/>
        </w:rPr>
      </w:pPr>
    </w:p>
    <w:p w14:paraId="098F450E" w14:textId="6AF7D655" w:rsidR="004F0FE3" w:rsidRPr="009D2CCB" w:rsidRDefault="004F0FE3" w:rsidP="004F0FE3">
      <w:pPr>
        <w:rPr>
          <w:b/>
          <w:color w:val="666666"/>
          <w:sz w:val="20"/>
          <w:szCs w:val="20"/>
        </w:rPr>
      </w:pPr>
      <w:r w:rsidRPr="009D2CCB">
        <w:rPr>
          <w:b/>
          <w:color w:val="666666"/>
          <w:sz w:val="20"/>
          <w:szCs w:val="20"/>
        </w:rPr>
        <w:t>Which contracts were affected?</w:t>
      </w:r>
    </w:p>
    <w:p w14:paraId="5650BCC6" w14:textId="4CA56645" w:rsidR="004F0FE3" w:rsidRPr="009D2CCB" w:rsidRDefault="004F0FE3" w:rsidP="004F0FE3">
      <w:pPr>
        <w:rPr>
          <w:bCs/>
          <w:color w:val="666666"/>
          <w:sz w:val="20"/>
          <w:szCs w:val="20"/>
        </w:rPr>
      </w:pPr>
      <w:r w:rsidRPr="009D2CCB">
        <w:rPr>
          <w:bCs/>
          <w:color w:val="666666"/>
          <w:sz w:val="20"/>
          <w:szCs w:val="20"/>
        </w:rPr>
        <w:t>The guidance covers nearly any verbal or written contract, other than contracts/subcontracts for manufacturing of products only, or contracts under the Simplified Acquisition Threshold ($250,000). Agencies and contractors working with contracts not addressed by this guidance are encouraged to comply or place the clause in those contracts as well.</w:t>
      </w:r>
      <w:r w:rsidR="006B2366" w:rsidRPr="009D2CCB">
        <w:rPr>
          <w:bCs/>
          <w:color w:val="666666"/>
          <w:sz w:val="20"/>
          <w:szCs w:val="20"/>
        </w:rPr>
        <w:t xml:space="preserve"> The clause should “flow down” to </w:t>
      </w:r>
      <w:r w:rsidR="00327B9A" w:rsidRPr="009D2CCB">
        <w:rPr>
          <w:bCs/>
          <w:color w:val="666666"/>
          <w:sz w:val="20"/>
          <w:szCs w:val="20"/>
        </w:rPr>
        <w:t>the final subcontract which includes only products.</w:t>
      </w:r>
    </w:p>
    <w:p w14:paraId="56A0B1A3" w14:textId="77777777" w:rsidR="0056463C" w:rsidRPr="009D2CCB" w:rsidRDefault="0056463C" w:rsidP="004F0FE3">
      <w:pPr>
        <w:rPr>
          <w:bCs/>
          <w:color w:val="666666"/>
          <w:sz w:val="20"/>
          <w:szCs w:val="20"/>
        </w:rPr>
      </w:pPr>
    </w:p>
    <w:p w14:paraId="30193B7D" w14:textId="22663B35" w:rsidR="008C1E06" w:rsidRPr="009D2CCB" w:rsidRDefault="008C1E06" w:rsidP="00D04690">
      <w:pPr>
        <w:rPr>
          <w:b/>
          <w:bCs/>
          <w:color w:val="666666"/>
          <w:sz w:val="20"/>
          <w:szCs w:val="20"/>
        </w:rPr>
      </w:pPr>
      <w:r w:rsidRPr="009D2CCB">
        <w:rPr>
          <w:b/>
          <w:bCs/>
          <w:color w:val="666666"/>
          <w:sz w:val="20"/>
          <w:szCs w:val="20"/>
        </w:rPr>
        <w:t xml:space="preserve">Does that mean if I have a small contract (under $250,000) </w:t>
      </w:r>
      <w:r w:rsidR="00327B9A" w:rsidRPr="009D2CCB">
        <w:rPr>
          <w:b/>
          <w:bCs/>
          <w:color w:val="666666"/>
          <w:sz w:val="20"/>
          <w:szCs w:val="20"/>
        </w:rPr>
        <w:t xml:space="preserve">or just supply products </w:t>
      </w:r>
      <w:r w:rsidRPr="009D2CCB">
        <w:rPr>
          <w:b/>
          <w:bCs/>
          <w:color w:val="666666"/>
          <w:sz w:val="20"/>
          <w:szCs w:val="20"/>
        </w:rPr>
        <w:t>that I don’t need to comply?</w:t>
      </w:r>
    </w:p>
    <w:p w14:paraId="0A407426" w14:textId="2A11C9B7" w:rsidR="008C1E06" w:rsidRPr="009D2CCB" w:rsidRDefault="008C1E06" w:rsidP="00D04690">
      <w:pPr>
        <w:rPr>
          <w:color w:val="666666"/>
          <w:sz w:val="20"/>
          <w:szCs w:val="20"/>
        </w:rPr>
      </w:pPr>
      <w:r w:rsidRPr="009D2CCB">
        <w:rPr>
          <w:color w:val="666666"/>
          <w:sz w:val="20"/>
          <w:szCs w:val="20"/>
        </w:rPr>
        <w:t xml:space="preserve">Not necessarily. The guidance </w:t>
      </w:r>
      <w:r w:rsidR="001123E1">
        <w:rPr>
          <w:color w:val="666666"/>
          <w:sz w:val="20"/>
          <w:szCs w:val="20"/>
        </w:rPr>
        <w:t>strongly recommended</w:t>
      </w:r>
      <w:r w:rsidRPr="009D2CCB">
        <w:rPr>
          <w:color w:val="666666"/>
          <w:sz w:val="20"/>
          <w:szCs w:val="20"/>
        </w:rPr>
        <w:t xml:space="preserve"> that </w:t>
      </w:r>
      <w:r w:rsidR="00541428" w:rsidRPr="009D2CCB">
        <w:rPr>
          <w:color w:val="666666"/>
          <w:sz w:val="20"/>
          <w:szCs w:val="20"/>
        </w:rPr>
        <w:t>most</w:t>
      </w:r>
      <w:r w:rsidRPr="009D2CCB">
        <w:rPr>
          <w:color w:val="666666"/>
          <w:sz w:val="20"/>
          <w:szCs w:val="20"/>
        </w:rPr>
        <w:t xml:space="preserve"> </w:t>
      </w:r>
      <w:r w:rsidR="00541428" w:rsidRPr="009D2CCB">
        <w:rPr>
          <w:color w:val="666666"/>
          <w:sz w:val="20"/>
          <w:szCs w:val="20"/>
        </w:rPr>
        <w:t>agencies add the clause to their contracts voluntarily. Once the clause is added, you will need to comply.</w:t>
      </w:r>
    </w:p>
    <w:p w14:paraId="266AB247" w14:textId="77777777" w:rsidR="008C1E06" w:rsidRPr="009D2CCB" w:rsidRDefault="008C1E06" w:rsidP="00D04690">
      <w:pPr>
        <w:rPr>
          <w:b/>
          <w:bCs/>
          <w:color w:val="666666"/>
          <w:sz w:val="20"/>
          <w:szCs w:val="20"/>
        </w:rPr>
      </w:pPr>
    </w:p>
    <w:p w14:paraId="703C2533" w14:textId="530BE441" w:rsidR="004F0FE3" w:rsidRPr="004F0FE3" w:rsidRDefault="0056463C" w:rsidP="00D04690">
      <w:pPr>
        <w:rPr>
          <w:bCs/>
          <w:color w:val="666666"/>
          <w:sz w:val="20"/>
          <w:szCs w:val="20"/>
        </w:rPr>
      </w:pPr>
      <w:r w:rsidRPr="009D2CCB">
        <w:rPr>
          <w:b/>
          <w:bCs/>
          <w:color w:val="666666"/>
          <w:sz w:val="20"/>
          <w:szCs w:val="20"/>
        </w:rPr>
        <w:t>What are the requirements?</w:t>
      </w:r>
    </w:p>
    <w:p w14:paraId="4E6BF775" w14:textId="0DE233F3" w:rsidR="004F0FE3" w:rsidRPr="004F0FE3" w:rsidRDefault="004F0FE3" w:rsidP="00D04690">
      <w:pPr>
        <w:numPr>
          <w:ilvl w:val="0"/>
          <w:numId w:val="20"/>
        </w:numPr>
        <w:rPr>
          <w:bCs/>
          <w:color w:val="666666"/>
          <w:sz w:val="20"/>
          <w:szCs w:val="20"/>
        </w:rPr>
      </w:pPr>
      <w:r w:rsidRPr="004F0FE3">
        <w:rPr>
          <w:b/>
          <w:bCs/>
          <w:color w:val="666666"/>
          <w:sz w:val="20"/>
          <w:szCs w:val="20"/>
        </w:rPr>
        <w:t xml:space="preserve">Full COVID-19 vaccination* by </w:t>
      </w:r>
      <w:r w:rsidR="00BA1A4E">
        <w:rPr>
          <w:b/>
          <w:bCs/>
          <w:color w:val="666666"/>
          <w:sz w:val="20"/>
          <w:szCs w:val="20"/>
        </w:rPr>
        <w:t xml:space="preserve">January 18, </w:t>
      </w:r>
      <w:r w:rsidRPr="004F0FE3">
        <w:rPr>
          <w:b/>
          <w:bCs/>
          <w:color w:val="666666"/>
          <w:sz w:val="20"/>
          <w:szCs w:val="20"/>
        </w:rPr>
        <w:t>2021**</w:t>
      </w:r>
      <w:r w:rsidRPr="004F0FE3">
        <w:rPr>
          <w:bCs/>
          <w:color w:val="666666"/>
          <w:sz w:val="20"/>
          <w:szCs w:val="20"/>
        </w:rPr>
        <w:t> for all employees working on or in connection with a covered contract OR working at a covered contractor workplace (even if not working on or in connection with a covered contract), including remote workers. A covered contractor workplace is any contractor location a covered employee is likely to enter.</w:t>
      </w:r>
    </w:p>
    <w:p w14:paraId="1F012CEE" w14:textId="77777777" w:rsidR="004F0FE3" w:rsidRPr="004F0FE3" w:rsidRDefault="004F0FE3" w:rsidP="00D04690">
      <w:pPr>
        <w:numPr>
          <w:ilvl w:val="0"/>
          <w:numId w:val="20"/>
        </w:numPr>
        <w:rPr>
          <w:bCs/>
          <w:color w:val="517891"/>
          <w:sz w:val="20"/>
          <w:szCs w:val="20"/>
        </w:rPr>
      </w:pPr>
      <w:r w:rsidRPr="004F0FE3">
        <w:rPr>
          <w:b/>
          <w:bCs/>
          <w:color w:val="666666"/>
          <w:sz w:val="20"/>
          <w:szCs w:val="20"/>
        </w:rPr>
        <w:t>Provide exceptions for religious/ADA accommodation.</w:t>
      </w:r>
      <w:r w:rsidRPr="004F0FE3">
        <w:rPr>
          <w:bCs/>
          <w:color w:val="666666"/>
          <w:sz w:val="20"/>
          <w:szCs w:val="20"/>
        </w:rPr>
        <w:t> See COVID-19 toolkit for</w:t>
      </w:r>
      <w:r w:rsidRPr="004F0FE3">
        <w:rPr>
          <w:bCs/>
          <w:color w:val="517891"/>
          <w:sz w:val="20"/>
          <w:szCs w:val="20"/>
        </w:rPr>
        <w:t> </w:t>
      </w:r>
      <w:hyperlink r:id="rId8" w:tgtFrame="_blank" w:history="1">
        <w:r w:rsidRPr="004F0FE3">
          <w:rPr>
            <w:rStyle w:val="Hyperlink"/>
            <w:bCs/>
            <w:sz w:val="20"/>
            <w:szCs w:val="20"/>
          </w:rPr>
          <w:t>religious</w:t>
        </w:r>
      </w:hyperlink>
      <w:r w:rsidRPr="004F0FE3">
        <w:rPr>
          <w:bCs/>
          <w:color w:val="517891"/>
          <w:sz w:val="20"/>
          <w:szCs w:val="20"/>
        </w:rPr>
        <w:t> </w:t>
      </w:r>
      <w:r w:rsidRPr="004F0FE3">
        <w:rPr>
          <w:bCs/>
          <w:color w:val="666666"/>
          <w:sz w:val="20"/>
          <w:szCs w:val="20"/>
        </w:rPr>
        <w:t>and</w:t>
      </w:r>
      <w:r w:rsidRPr="004F0FE3">
        <w:rPr>
          <w:bCs/>
          <w:color w:val="517891"/>
          <w:sz w:val="20"/>
          <w:szCs w:val="20"/>
        </w:rPr>
        <w:t> </w:t>
      </w:r>
      <w:hyperlink r:id="rId9" w:tgtFrame="_blank" w:history="1">
        <w:r w:rsidRPr="004F0FE3">
          <w:rPr>
            <w:rStyle w:val="Hyperlink"/>
            <w:bCs/>
            <w:sz w:val="20"/>
            <w:szCs w:val="20"/>
          </w:rPr>
          <w:t>ADA</w:t>
        </w:r>
      </w:hyperlink>
      <w:r w:rsidRPr="004F0FE3">
        <w:rPr>
          <w:bCs/>
          <w:color w:val="517891"/>
          <w:sz w:val="20"/>
          <w:szCs w:val="20"/>
        </w:rPr>
        <w:t> </w:t>
      </w:r>
      <w:r w:rsidRPr="004F0FE3">
        <w:rPr>
          <w:bCs/>
          <w:color w:val="666666"/>
          <w:sz w:val="20"/>
          <w:szCs w:val="20"/>
        </w:rPr>
        <w:t>exemption forms.</w:t>
      </w:r>
    </w:p>
    <w:p w14:paraId="0B256FBF" w14:textId="77777777" w:rsidR="004F0FE3" w:rsidRPr="004F0FE3" w:rsidRDefault="004F0FE3" w:rsidP="00D04690">
      <w:pPr>
        <w:numPr>
          <w:ilvl w:val="0"/>
          <w:numId w:val="20"/>
        </w:numPr>
        <w:rPr>
          <w:bCs/>
          <w:color w:val="666666"/>
          <w:sz w:val="20"/>
          <w:szCs w:val="20"/>
        </w:rPr>
      </w:pPr>
      <w:r w:rsidRPr="004F0FE3">
        <w:rPr>
          <w:b/>
          <w:bCs/>
          <w:color w:val="666666"/>
          <w:sz w:val="20"/>
          <w:szCs w:val="20"/>
        </w:rPr>
        <w:t>Mask/Social Distance in accordance with CDC community transmission guidelines </w:t>
      </w:r>
      <w:r w:rsidRPr="004F0FE3">
        <w:rPr>
          <w:bCs/>
          <w:color w:val="666666"/>
          <w:sz w:val="20"/>
          <w:szCs w:val="20"/>
        </w:rPr>
        <w:t>as determined by the </w:t>
      </w:r>
      <w:hyperlink r:id="rId10" w:anchor="county-view" w:tgtFrame="_blank" w:history="1">
        <w:r w:rsidRPr="004F0FE3">
          <w:rPr>
            <w:rStyle w:val="Hyperlink"/>
            <w:bCs/>
            <w:sz w:val="20"/>
            <w:szCs w:val="20"/>
          </w:rPr>
          <w:t>CDC COVID-19 Data Tracker County View</w:t>
        </w:r>
      </w:hyperlink>
      <w:r w:rsidRPr="004F0FE3">
        <w:rPr>
          <w:bCs/>
          <w:color w:val="517891"/>
          <w:sz w:val="20"/>
          <w:szCs w:val="20"/>
        </w:rPr>
        <w:t> </w:t>
      </w:r>
      <w:r w:rsidRPr="004F0FE3">
        <w:rPr>
          <w:bCs/>
          <w:color w:val="666666"/>
          <w:sz w:val="20"/>
          <w:szCs w:val="20"/>
        </w:rPr>
        <w:t>at any location controlled by a covered contractor at which any employee of a covered contractor working on or in connection with a covered contract (this could include HR/Billing) is likely to be present.</w:t>
      </w:r>
    </w:p>
    <w:p w14:paraId="363C983A" w14:textId="77777777" w:rsidR="004F0FE3" w:rsidRPr="004F0FE3" w:rsidRDefault="004F0FE3" w:rsidP="00D04690">
      <w:pPr>
        <w:numPr>
          <w:ilvl w:val="0"/>
          <w:numId w:val="20"/>
        </w:numPr>
        <w:rPr>
          <w:bCs/>
          <w:color w:val="666666"/>
          <w:sz w:val="20"/>
          <w:szCs w:val="20"/>
        </w:rPr>
      </w:pPr>
      <w:r w:rsidRPr="004F0FE3">
        <w:rPr>
          <w:b/>
          <w:bCs/>
          <w:color w:val="666666"/>
          <w:sz w:val="20"/>
          <w:szCs w:val="20"/>
        </w:rPr>
        <w:t>Designation of a person or persons to coordinate COVID-19 workplace safety efforts, including:</w:t>
      </w:r>
    </w:p>
    <w:p w14:paraId="4DA8B87E" w14:textId="77777777" w:rsidR="004F0FE3" w:rsidRPr="004F0FE3" w:rsidRDefault="004F0FE3" w:rsidP="00D04690">
      <w:pPr>
        <w:numPr>
          <w:ilvl w:val="1"/>
          <w:numId w:val="20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>Ensuring review of vaccination records</w:t>
      </w:r>
    </w:p>
    <w:p w14:paraId="5CBAA84B" w14:textId="77777777" w:rsidR="004F0FE3" w:rsidRPr="004F0FE3" w:rsidRDefault="004F0FE3" w:rsidP="00D04690">
      <w:pPr>
        <w:numPr>
          <w:ilvl w:val="1"/>
          <w:numId w:val="20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>Ensuring visitors and employees have clear, easily understood communications about COVID-19 safety requirements</w:t>
      </w:r>
    </w:p>
    <w:p w14:paraId="7FD71C02" w14:textId="77777777" w:rsidR="004F0FE3" w:rsidRPr="004F0FE3" w:rsidRDefault="004F0FE3" w:rsidP="00D04690">
      <w:pPr>
        <w:numPr>
          <w:ilvl w:val="1"/>
          <w:numId w:val="20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>Checking the transmission level (see above) at least weekly</w:t>
      </w:r>
    </w:p>
    <w:p w14:paraId="7A5A85F7" w14:textId="6DCB96E6" w:rsidR="004F0FE3" w:rsidRPr="009D2CCB" w:rsidRDefault="004F0FE3" w:rsidP="00D04690">
      <w:pPr>
        <w:numPr>
          <w:ilvl w:val="1"/>
          <w:numId w:val="20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>Adjusting safety protocols upwards immediately (shift from low/moderate spread to high/substantial). </w:t>
      </w:r>
      <w:r w:rsidRPr="004F0FE3">
        <w:rPr>
          <w:bCs/>
          <w:i/>
          <w:iCs/>
          <w:color w:val="666666"/>
          <w:sz w:val="20"/>
          <w:szCs w:val="20"/>
        </w:rPr>
        <w:t>If the spread decreases to low/</w:t>
      </w:r>
      <w:proofErr w:type="gramStart"/>
      <w:r w:rsidRPr="004F0FE3">
        <w:rPr>
          <w:bCs/>
          <w:i/>
          <w:iCs/>
          <w:color w:val="666666"/>
          <w:sz w:val="20"/>
          <w:szCs w:val="20"/>
        </w:rPr>
        <w:t>moderate</w:t>
      </w:r>
      <w:proofErr w:type="gramEnd"/>
      <w:r w:rsidRPr="004F0FE3">
        <w:rPr>
          <w:bCs/>
          <w:i/>
          <w:iCs/>
          <w:color w:val="666666"/>
          <w:sz w:val="20"/>
          <w:szCs w:val="20"/>
        </w:rPr>
        <w:t xml:space="preserve"> there is a two-week wait before adjusting protocol.</w:t>
      </w:r>
    </w:p>
    <w:p w14:paraId="3668E9D8" w14:textId="77777777" w:rsidR="0056463C" w:rsidRPr="004F0FE3" w:rsidRDefault="0056463C" w:rsidP="0056463C">
      <w:pPr>
        <w:ind w:left="2160"/>
        <w:rPr>
          <w:bCs/>
          <w:color w:val="666666"/>
          <w:sz w:val="20"/>
          <w:szCs w:val="20"/>
        </w:rPr>
      </w:pPr>
    </w:p>
    <w:p w14:paraId="4A06FF83" w14:textId="77777777" w:rsidR="00D04690" w:rsidRPr="009D2CCB" w:rsidRDefault="00D04690" w:rsidP="004F0FE3">
      <w:pPr>
        <w:rPr>
          <w:b/>
          <w:bCs/>
          <w:color w:val="666666"/>
          <w:sz w:val="20"/>
          <w:szCs w:val="20"/>
        </w:rPr>
      </w:pPr>
      <w:r w:rsidRPr="009D2CCB">
        <w:rPr>
          <w:b/>
          <w:bCs/>
          <w:color w:val="666666"/>
          <w:sz w:val="20"/>
          <w:szCs w:val="20"/>
        </w:rPr>
        <w:t>How do you collect proof of vaccination?</w:t>
      </w:r>
    </w:p>
    <w:p w14:paraId="05960EAA" w14:textId="69663417" w:rsidR="004F0FE3" w:rsidRPr="004F0FE3" w:rsidRDefault="004F0FE3" w:rsidP="00D04690">
      <w:pPr>
        <w:rPr>
          <w:color w:val="666666"/>
          <w:sz w:val="20"/>
          <w:szCs w:val="20"/>
        </w:rPr>
      </w:pPr>
      <w:r w:rsidRPr="004F0FE3">
        <w:rPr>
          <w:color w:val="666666"/>
          <w:sz w:val="20"/>
          <w:szCs w:val="20"/>
        </w:rPr>
        <w:t>The covered contractor must view one of the following (digital copy OK) to verify vaccination:</w:t>
      </w:r>
    </w:p>
    <w:p w14:paraId="68BD555D" w14:textId="77777777" w:rsidR="004F0FE3" w:rsidRPr="004F0FE3" w:rsidRDefault="004F0FE3" w:rsidP="00D04690">
      <w:pPr>
        <w:numPr>
          <w:ilvl w:val="0"/>
          <w:numId w:val="21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>A copy of the record of immunization from a health care provider or pharmacy</w:t>
      </w:r>
    </w:p>
    <w:p w14:paraId="4280C72C" w14:textId="77777777" w:rsidR="004F0FE3" w:rsidRPr="004F0FE3" w:rsidRDefault="004F0FE3" w:rsidP="00D04690">
      <w:pPr>
        <w:numPr>
          <w:ilvl w:val="0"/>
          <w:numId w:val="21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>A copy of the COVID-19 Vaccination Record Card</w:t>
      </w:r>
    </w:p>
    <w:p w14:paraId="6165BC86" w14:textId="77777777" w:rsidR="004F0FE3" w:rsidRPr="004F0FE3" w:rsidRDefault="004F0FE3" w:rsidP="00D04690">
      <w:pPr>
        <w:numPr>
          <w:ilvl w:val="0"/>
          <w:numId w:val="21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>A copy of medical records documenting the vaccination</w:t>
      </w:r>
    </w:p>
    <w:p w14:paraId="16FE3CD8" w14:textId="77777777" w:rsidR="004F0FE3" w:rsidRPr="004F0FE3" w:rsidRDefault="004F0FE3" w:rsidP="00D04690">
      <w:pPr>
        <w:numPr>
          <w:ilvl w:val="0"/>
          <w:numId w:val="21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>A copy of immunization records from a public health or State immunization information system</w:t>
      </w:r>
    </w:p>
    <w:p w14:paraId="3270EDFB" w14:textId="10E94960" w:rsidR="004F0FE3" w:rsidRPr="009D2CCB" w:rsidRDefault="004F0FE3" w:rsidP="00D04690">
      <w:pPr>
        <w:numPr>
          <w:ilvl w:val="0"/>
          <w:numId w:val="21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 xml:space="preserve">Other official documentation verifying vaccination with vaccine name, date(s), </w:t>
      </w:r>
      <w:proofErr w:type="gramStart"/>
      <w:r w:rsidRPr="004F0FE3">
        <w:rPr>
          <w:bCs/>
          <w:color w:val="666666"/>
          <w:sz w:val="20"/>
          <w:szCs w:val="20"/>
        </w:rPr>
        <w:t>site</w:t>
      </w:r>
      <w:proofErr w:type="gramEnd"/>
      <w:r w:rsidRPr="004F0FE3">
        <w:rPr>
          <w:bCs/>
          <w:color w:val="666666"/>
          <w:sz w:val="20"/>
          <w:szCs w:val="20"/>
        </w:rPr>
        <w:t xml:space="preserve"> or HCP.</w:t>
      </w:r>
    </w:p>
    <w:p w14:paraId="60B09461" w14:textId="77777777" w:rsidR="00D04690" w:rsidRPr="004F0FE3" w:rsidRDefault="00D04690" w:rsidP="00D04690">
      <w:pPr>
        <w:ind w:left="720"/>
        <w:rPr>
          <w:bCs/>
          <w:color w:val="666666"/>
          <w:sz w:val="20"/>
          <w:szCs w:val="20"/>
        </w:rPr>
      </w:pPr>
    </w:p>
    <w:p w14:paraId="0187E3E7" w14:textId="598CDF98" w:rsidR="00D04690" w:rsidRPr="009D2CCB" w:rsidRDefault="00D04690" w:rsidP="004F0FE3">
      <w:pPr>
        <w:rPr>
          <w:bCs/>
          <w:color w:val="666666"/>
          <w:sz w:val="20"/>
          <w:szCs w:val="20"/>
        </w:rPr>
      </w:pPr>
      <w:r w:rsidRPr="009D2CCB">
        <w:rPr>
          <w:b/>
          <w:bCs/>
          <w:color w:val="666666"/>
          <w:sz w:val="20"/>
          <w:szCs w:val="20"/>
        </w:rPr>
        <w:t>What safety mandates, aside from vaccination, are required?</w:t>
      </w:r>
      <w:r w:rsidR="004F0FE3" w:rsidRPr="004F0FE3">
        <w:rPr>
          <w:bCs/>
          <w:color w:val="666666"/>
          <w:sz w:val="20"/>
          <w:szCs w:val="20"/>
        </w:rPr>
        <w:t> </w:t>
      </w:r>
    </w:p>
    <w:p w14:paraId="316682E9" w14:textId="15DAAF68" w:rsidR="004F0FE3" w:rsidRPr="004F0FE3" w:rsidRDefault="004F0FE3" w:rsidP="004F0FE3">
      <w:p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>Comply with published CDC guidance (including industry-specific requirements) to include:</w:t>
      </w:r>
    </w:p>
    <w:p w14:paraId="0807ACB9" w14:textId="77777777" w:rsidR="004F0FE3" w:rsidRPr="004F0FE3" w:rsidRDefault="004F0FE3" w:rsidP="00D04690">
      <w:pPr>
        <w:numPr>
          <w:ilvl w:val="0"/>
          <w:numId w:val="22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 xml:space="preserve">Masks must be worn properly (over mouth and nose), not have vents, nor be </w:t>
      </w:r>
      <w:proofErr w:type="gramStart"/>
      <w:r w:rsidRPr="004F0FE3">
        <w:rPr>
          <w:bCs/>
          <w:color w:val="666666"/>
          <w:sz w:val="20"/>
          <w:szCs w:val="20"/>
        </w:rPr>
        <w:t>single-layer</w:t>
      </w:r>
      <w:proofErr w:type="gramEnd"/>
      <w:r w:rsidRPr="004F0FE3">
        <w:rPr>
          <w:bCs/>
          <w:color w:val="666666"/>
          <w:sz w:val="20"/>
          <w:szCs w:val="20"/>
        </w:rPr>
        <w:t>/non-light blocking. Some exceptions include: if requested, for identification; in an office with walls (ceiling to floor) and closed-door; for short periods of socially distancing while eating.) Some other situation-specific exceptions apply.</w:t>
      </w:r>
    </w:p>
    <w:p w14:paraId="2979E83C" w14:textId="77777777" w:rsidR="004F0FE3" w:rsidRPr="004F0FE3" w:rsidRDefault="004F0FE3" w:rsidP="00D04690">
      <w:pPr>
        <w:numPr>
          <w:ilvl w:val="0"/>
          <w:numId w:val="22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>In areas of high or substantial community transmission, fully vaccinated people must wear a mask in indoor settings.</w:t>
      </w:r>
    </w:p>
    <w:p w14:paraId="44CF1406" w14:textId="77777777" w:rsidR="004F0FE3" w:rsidRPr="004F0FE3" w:rsidRDefault="004F0FE3" w:rsidP="00D04690">
      <w:pPr>
        <w:numPr>
          <w:ilvl w:val="0"/>
          <w:numId w:val="22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>Fully vaccinated individuals do not need to physically distance no matter the transmission level.</w:t>
      </w:r>
    </w:p>
    <w:p w14:paraId="573FF5EE" w14:textId="77777777" w:rsidR="004F0FE3" w:rsidRPr="004F0FE3" w:rsidRDefault="004F0FE3" w:rsidP="00D04690">
      <w:pPr>
        <w:numPr>
          <w:ilvl w:val="0"/>
          <w:numId w:val="22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lastRenderedPageBreak/>
        <w:t>Individuals who are not fully vaccinated must wear a mask indoors and in certain outdoor settings regardless of the level of community transmission in the area.</w:t>
      </w:r>
    </w:p>
    <w:p w14:paraId="4BCA9DCD" w14:textId="0C6ABC43" w:rsidR="004F0FE3" w:rsidRPr="009D2CCB" w:rsidRDefault="004F0FE3" w:rsidP="00D04690">
      <w:pPr>
        <w:numPr>
          <w:ilvl w:val="0"/>
          <w:numId w:val="22"/>
        </w:numPr>
        <w:rPr>
          <w:bCs/>
          <w:color w:val="666666"/>
          <w:sz w:val="20"/>
          <w:szCs w:val="20"/>
        </w:rPr>
      </w:pPr>
      <w:r w:rsidRPr="004F0FE3">
        <w:rPr>
          <w:bCs/>
          <w:color w:val="666666"/>
          <w:sz w:val="20"/>
          <w:szCs w:val="20"/>
        </w:rPr>
        <w:t xml:space="preserve">To the extent practicable, individuals who are not fully vaccinated should </w:t>
      </w:r>
      <w:proofErr w:type="gramStart"/>
      <w:r w:rsidRPr="004F0FE3">
        <w:rPr>
          <w:bCs/>
          <w:color w:val="666666"/>
          <w:sz w:val="20"/>
          <w:szCs w:val="20"/>
        </w:rPr>
        <w:t>maintain a distance of at least six feet from others at all times</w:t>
      </w:r>
      <w:proofErr w:type="gramEnd"/>
      <w:r w:rsidRPr="004F0FE3">
        <w:rPr>
          <w:bCs/>
          <w:color w:val="666666"/>
          <w:sz w:val="20"/>
          <w:szCs w:val="20"/>
        </w:rPr>
        <w:t>, including in offices, conference rooms, and all other communal and workspaces.</w:t>
      </w:r>
    </w:p>
    <w:p w14:paraId="75C51B59" w14:textId="47272573" w:rsidR="00D04690" w:rsidRPr="009D2CCB" w:rsidRDefault="00D04690" w:rsidP="00D04690">
      <w:pPr>
        <w:rPr>
          <w:bCs/>
          <w:color w:val="666666"/>
          <w:sz w:val="20"/>
          <w:szCs w:val="20"/>
        </w:rPr>
      </w:pPr>
    </w:p>
    <w:p w14:paraId="4D5F6B80" w14:textId="3F19826B" w:rsidR="00D04690" w:rsidRPr="009D2CCB" w:rsidRDefault="00D04690" w:rsidP="00D04690">
      <w:pPr>
        <w:rPr>
          <w:bCs/>
          <w:color w:val="666666"/>
          <w:sz w:val="20"/>
          <w:szCs w:val="20"/>
        </w:rPr>
      </w:pPr>
      <w:r w:rsidRPr="009D2CCB">
        <w:rPr>
          <w:b/>
          <w:bCs/>
          <w:color w:val="666666"/>
          <w:sz w:val="20"/>
          <w:szCs w:val="20"/>
        </w:rPr>
        <w:t xml:space="preserve">When does this </w:t>
      </w:r>
      <w:r w:rsidRPr="002D33F4">
        <w:rPr>
          <w:b/>
          <w:bCs/>
          <w:color w:val="666666"/>
          <w:sz w:val="20"/>
          <w:szCs w:val="20"/>
          <w:u w:val="single"/>
        </w:rPr>
        <w:t>really</w:t>
      </w:r>
      <w:r w:rsidRPr="009D2CCB">
        <w:rPr>
          <w:b/>
          <w:bCs/>
          <w:color w:val="666666"/>
          <w:sz w:val="20"/>
          <w:szCs w:val="20"/>
        </w:rPr>
        <w:t xml:space="preserve"> take effect?</w:t>
      </w:r>
    </w:p>
    <w:p w14:paraId="60ABF473" w14:textId="233CACAA" w:rsidR="00D04690" w:rsidRPr="004F0FE3" w:rsidRDefault="00FC750C" w:rsidP="00D04690">
      <w:pPr>
        <w:rPr>
          <w:bCs/>
          <w:color w:val="666666"/>
          <w:sz w:val="20"/>
          <w:szCs w:val="20"/>
        </w:rPr>
      </w:pPr>
      <w:r w:rsidRPr="009D2CCB">
        <w:rPr>
          <w:bCs/>
          <w:color w:val="666666"/>
          <w:sz w:val="20"/>
          <w:szCs w:val="20"/>
        </w:rPr>
        <w:t xml:space="preserve">Your contract </w:t>
      </w:r>
      <w:r w:rsidR="00F3590E" w:rsidRPr="009D2CCB">
        <w:rPr>
          <w:bCs/>
          <w:color w:val="666666"/>
          <w:sz w:val="20"/>
          <w:szCs w:val="20"/>
        </w:rPr>
        <w:t>may not have the required clause added immediately. New contracts may be affected</w:t>
      </w:r>
      <w:r w:rsidR="00180099" w:rsidRPr="009D2CCB">
        <w:rPr>
          <w:bCs/>
          <w:color w:val="666666"/>
          <w:sz w:val="20"/>
          <w:szCs w:val="20"/>
        </w:rPr>
        <w:t xml:space="preserve"> </w:t>
      </w:r>
      <w:r w:rsidR="00F3590E" w:rsidRPr="009D2CCB">
        <w:rPr>
          <w:bCs/>
          <w:color w:val="666666"/>
          <w:sz w:val="20"/>
          <w:szCs w:val="20"/>
        </w:rPr>
        <w:t>but are not required to include the clause until October 15</w:t>
      </w:r>
      <w:r w:rsidR="00F3590E" w:rsidRPr="009D2CCB">
        <w:rPr>
          <w:bCs/>
          <w:color w:val="666666"/>
          <w:sz w:val="20"/>
          <w:szCs w:val="20"/>
          <w:vertAlign w:val="superscript"/>
        </w:rPr>
        <w:t>th</w:t>
      </w:r>
      <w:r w:rsidR="00F3590E" w:rsidRPr="009D2CCB">
        <w:rPr>
          <w:bCs/>
          <w:color w:val="666666"/>
          <w:sz w:val="20"/>
          <w:szCs w:val="20"/>
        </w:rPr>
        <w:t xml:space="preserve">. In addition, existing contracts may not be modified until </w:t>
      </w:r>
      <w:r w:rsidR="008C1E06" w:rsidRPr="009D2CCB">
        <w:rPr>
          <w:bCs/>
          <w:color w:val="666666"/>
          <w:sz w:val="20"/>
          <w:szCs w:val="20"/>
        </w:rPr>
        <w:t>they are extended or adjusted.</w:t>
      </w:r>
    </w:p>
    <w:p w14:paraId="43D494DB" w14:textId="77777777" w:rsidR="00D04690" w:rsidRPr="009D2CCB" w:rsidRDefault="00D04690" w:rsidP="00D04690">
      <w:pPr>
        <w:rPr>
          <w:bCs/>
          <w:color w:val="666666"/>
          <w:sz w:val="20"/>
          <w:szCs w:val="20"/>
        </w:rPr>
      </w:pPr>
    </w:p>
    <w:p w14:paraId="7AFF9E82" w14:textId="2C7DEDF7" w:rsidR="009D2CCB" w:rsidRDefault="009D2CCB" w:rsidP="004F0FE3">
      <w:pPr>
        <w:rPr>
          <w:bCs/>
          <w:color w:val="666666"/>
          <w:sz w:val="20"/>
          <w:szCs w:val="20"/>
        </w:rPr>
      </w:pPr>
      <w:r w:rsidRPr="009D2CCB">
        <w:rPr>
          <w:b/>
          <w:bCs/>
          <w:color w:val="666666"/>
          <w:sz w:val="20"/>
          <w:szCs w:val="20"/>
        </w:rPr>
        <w:t>What are m</w:t>
      </w:r>
      <w:r>
        <w:rPr>
          <w:b/>
          <w:bCs/>
          <w:color w:val="666666"/>
          <w:sz w:val="20"/>
          <w:szCs w:val="20"/>
        </w:rPr>
        <w:t>y next steps?</w:t>
      </w:r>
    </w:p>
    <w:p w14:paraId="2B39C463" w14:textId="5F54E943" w:rsidR="00462011" w:rsidRDefault="009D2CCB" w:rsidP="009D2CCB">
      <w:pPr>
        <w:pStyle w:val="ListParagraph"/>
        <w:numPr>
          <w:ilvl w:val="0"/>
          <w:numId w:val="23"/>
        </w:numPr>
        <w:rPr>
          <w:bCs/>
          <w:color w:val="666666"/>
          <w:sz w:val="20"/>
          <w:szCs w:val="20"/>
        </w:rPr>
      </w:pPr>
      <w:r>
        <w:rPr>
          <w:bCs/>
          <w:color w:val="666666"/>
          <w:sz w:val="20"/>
          <w:szCs w:val="20"/>
        </w:rPr>
        <w:t xml:space="preserve">Talk to the agency or contractor you work </w:t>
      </w:r>
      <w:r w:rsidR="00B91520">
        <w:rPr>
          <w:bCs/>
          <w:color w:val="666666"/>
          <w:sz w:val="20"/>
          <w:szCs w:val="20"/>
        </w:rPr>
        <w:t xml:space="preserve">with </w:t>
      </w:r>
      <w:r w:rsidR="00304774">
        <w:rPr>
          <w:bCs/>
          <w:color w:val="666666"/>
          <w:sz w:val="20"/>
          <w:szCs w:val="20"/>
        </w:rPr>
        <w:t>–</w:t>
      </w:r>
      <w:r w:rsidR="00B91520">
        <w:rPr>
          <w:bCs/>
          <w:color w:val="666666"/>
          <w:sz w:val="20"/>
          <w:szCs w:val="20"/>
        </w:rPr>
        <w:t xml:space="preserve"> </w:t>
      </w:r>
      <w:r w:rsidR="00304774">
        <w:rPr>
          <w:bCs/>
          <w:color w:val="666666"/>
          <w:sz w:val="20"/>
          <w:szCs w:val="20"/>
        </w:rPr>
        <w:t xml:space="preserve">even if your </w:t>
      </w:r>
      <w:r w:rsidR="00462011">
        <w:rPr>
          <w:bCs/>
          <w:color w:val="666666"/>
          <w:sz w:val="20"/>
          <w:szCs w:val="20"/>
        </w:rPr>
        <w:t>company is not covered in the mandate, it may have to comply if the agency chooses to follow the recommended guidance to add the clause in your contract.</w:t>
      </w:r>
    </w:p>
    <w:p w14:paraId="724B4546" w14:textId="77777777" w:rsidR="00462011" w:rsidRDefault="00462011" w:rsidP="009D2CCB">
      <w:pPr>
        <w:pStyle w:val="ListParagraph"/>
        <w:numPr>
          <w:ilvl w:val="0"/>
          <w:numId w:val="23"/>
        </w:numPr>
        <w:rPr>
          <w:bCs/>
          <w:color w:val="666666"/>
          <w:sz w:val="20"/>
          <w:szCs w:val="20"/>
        </w:rPr>
      </w:pPr>
      <w:r>
        <w:rPr>
          <w:bCs/>
          <w:color w:val="666666"/>
          <w:sz w:val="20"/>
          <w:szCs w:val="20"/>
        </w:rPr>
        <w:t>Make sure you “roll the clause” down to your subcontractors as soon as you are aware it has been added to your contract. Give them a heads-up as far in advance as possible.</w:t>
      </w:r>
    </w:p>
    <w:p w14:paraId="3714A25B" w14:textId="3EBCA131" w:rsidR="004F0FE3" w:rsidRDefault="00462011" w:rsidP="009D2CCB">
      <w:pPr>
        <w:pStyle w:val="ListParagraph"/>
        <w:numPr>
          <w:ilvl w:val="0"/>
          <w:numId w:val="23"/>
        </w:numPr>
        <w:rPr>
          <w:bCs/>
          <w:color w:val="666666"/>
          <w:sz w:val="20"/>
          <w:szCs w:val="20"/>
        </w:rPr>
      </w:pPr>
      <w:r>
        <w:rPr>
          <w:bCs/>
          <w:color w:val="666666"/>
          <w:sz w:val="20"/>
          <w:szCs w:val="20"/>
        </w:rPr>
        <w:t>Retention issues</w:t>
      </w:r>
      <w:r w:rsidR="004F0FE3" w:rsidRPr="009D2CCB">
        <w:rPr>
          <w:bCs/>
          <w:color w:val="666666"/>
          <w:sz w:val="20"/>
          <w:szCs w:val="20"/>
        </w:rPr>
        <w:t xml:space="preserve"> may arise from a mandate. View our vaccination planning tool, mandatory vaccination policy and other resources on our </w:t>
      </w:r>
      <w:hyperlink r:id="rId11" w:tgtFrame="_blank" w:history="1">
        <w:r w:rsidR="004F0FE3" w:rsidRPr="00462011">
          <w:rPr>
            <w:color w:val="0070C0"/>
          </w:rPr>
          <w:t>COVID-19 toolkit</w:t>
        </w:r>
      </w:hyperlink>
      <w:r w:rsidR="004F0FE3" w:rsidRPr="009D2CCB">
        <w:rPr>
          <w:bCs/>
          <w:color w:val="666666"/>
          <w:sz w:val="20"/>
          <w:szCs w:val="20"/>
        </w:rPr>
        <w:t xml:space="preserve"> to assist you in decision-making. Education, </w:t>
      </w:r>
      <w:proofErr w:type="gramStart"/>
      <w:r w:rsidR="004F0FE3" w:rsidRPr="009D2CCB">
        <w:rPr>
          <w:bCs/>
          <w:color w:val="666666"/>
          <w:sz w:val="20"/>
          <w:szCs w:val="20"/>
        </w:rPr>
        <w:t>communication</w:t>
      </w:r>
      <w:proofErr w:type="gramEnd"/>
      <w:r w:rsidR="004F0FE3" w:rsidRPr="009D2CCB">
        <w:rPr>
          <w:bCs/>
          <w:color w:val="666666"/>
          <w:sz w:val="20"/>
          <w:szCs w:val="20"/>
        </w:rPr>
        <w:t xml:space="preserve"> and employee input are essential in developing and gaining commitment to the process.</w:t>
      </w:r>
    </w:p>
    <w:p w14:paraId="65809F81" w14:textId="7782E147" w:rsidR="00462011" w:rsidRDefault="00462011" w:rsidP="009D2CCB">
      <w:pPr>
        <w:pStyle w:val="ListParagraph"/>
        <w:numPr>
          <w:ilvl w:val="0"/>
          <w:numId w:val="23"/>
        </w:numPr>
        <w:rPr>
          <w:bCs/>
          <w:color w:val="666666"/>
          <w:sz w:val="20"/>
          <w:szCs w:val="20"/>
        </w:rPr>
      </w:pPr>
      <w:r>
        <w:rPr>
          <w:bCs/>
          <w:color w:val="666666"/>
          <w:sz w:val="20"/>
          <w:szCs w:val="20"/>
        </w:rPr>
        <w:t>Use our tools to develop processes for your organization and consider how you will educate</w:t>
      </w:r>
      <w:r w:rsidR="005120A1">
        <w:rPr>
          <w:bCs/>
          <w:color w:val="666666"/>
          <w:sz w:val="20"/>
          <w:szCs w:val="20"/>
        </w:rPr>
        <w:t xml:space="preserve"> staff. Companies that spend time educating staff (to include bringing in an expert on the vaccine from an outside source) seem to have more success at boosting vaccination rate</w:t>
      </w:r>
      <w:r w:rsidR="00572086">
        <w:rPr>
          <w:bCs/>
          <w:color w:val="666666"/>
          <w:sz w:val="20"/>
          <w:szCs w:val="20"/>
        </w:rPr>
        <w:t xml:space="preserve"> voluntarily.</w:t>
      </w:r>
    </w:p>
    <w:p w14:paraId="5467D505" w14:textId="1D6642C9" w:rsidR="00572086" w:rsidRDefault="00572086" w:rsidP="009D2CCB">
      <w:pPr>
        <w:pStyle w:val="ListParagraph"/>
        <w:numPr>
          <w:ilvl w:val="0"/>
          <w:numId w:val="23"/>
        </w:numPr>
        <w:rPr>
          <w:bCs/>
          <w:color w:val="666666"/>
          <w:sz w:val="20"/>
          <w:szCs w:val="20"/>
        </w:rPr>
      </w:pPr>
      <w:r>
        <w:rPr>
          <w:bCs/>
          <w:color w:val="666666"/>
          <w:sz w:val="20"/>
          <w:szCs w:val="20"/>
        </w:rPr>
        <w:t>See the other tools included in this document to ensure ADA and religious accommodations are considered and to appropriately exit employees who are non-compliant:</w:t>
      </w:r>
      <w:r w:rsidR="001853A5">
        <w:rPr>
          <w:bCs/>
          <w:color w:val="666666"/>
          <w:sz w:val="20"/>
          <w:szCs w:val="20"/>
        </w:rPr>
        <w:t xml:space="preserve"> </w:t>
      </w:r>
      <w:hyperlink r:id="rId12" w:history="1">
        <w:r w:rsidR="001853A5" w:rsidRPr="001853A5">
          <w:rPr>
            <w:rStyle w:val="Hyperlink"/>
            <w:bCs/>
            <w:sz w:val="20"/>
            <w:szCs w:val="20"/>
          </w:rPr>
          <w:t>Non-Compliance Letter for Vaccine Mandate.</w:t>
        </w:r>
      </w:hyperlink>
    </w:p>
    <w:p w14:paraId="40272A27" w14:textId="77777777" w:rsidR="00572086" w:rsidRPr="009D2CCB" w:rsidRDefault="00572086" w:rsidP="00572086">
      <w:pPr>
        <w:pStyle w:val="ListParagraph"/>
        <w:rPr>
          <w:bCs/>
          <w:color w:val="666666"/>
          <w:sz w:val="20"/>
          <w:szCs w:val="20"/>
        </w:rPr>
      </w:pPr>
    </w:p>
    <w:p w14:paraId="2DA55194" w14:textId="77777777" w:rsidR="004F0FE3" w:rsidRPr="004F0FE3" w:rsidRDefault="004F0FE3" w:rsidP="004F0FE3">
      <w:pPr>
        <w:rPr>
          <w:bCs/>
          <w:color w:val="666666"/>
          <w:sz w:val="20"/>
          <w:szCs w:val="20"/>
        </w:rPr>
      </w:pPr>
      <w:r w:rsidRPr="004F0FE3">
        <w:rPr>
          <w:bCs/>
          <w:i/>
          <w:iCs/>
          <w:color w:val="666666"/>
          <w:sz w:val="20"/>
          <w:szCs w:val="20"/>
        </w:rPr>
        <w:t>* </w:t>
      </w:r>
      <w:r w:rsidRPr="004F0FE3">
        <w:rPr>
          <w:b/>
          <w:bCs/>
          <w:i/>
          <w:iCs/>
          <w:color w:val="666666"/>
          <w:sz w:val="20"/>
          <w:szCs w:val="20"/>
        </w:rPr>
        <w:t>Fully vaccinated = 2 weeks after their second dose in a 2-dose series</w:t>
      </w:r>
      <w:r w:rsidRPr="004F0FE3">
        <w:rPr>
          <w:bCs/>
          <w:i/>
          <w:iCs/>
          <w:color w:val="666666"/>
          <w:sz w:val="20"/>
          <w:szCs w:val="20"/>
        </w:rPr>
        <w:t>, such as the Pfizer or Moderna vaccines, or 2 weeks after a single-dose vaccine, such as Johnson &amp; Johnson’s Janssen vaccine.</w:t>
      </w:r>
    </w:p>
    <w:p w14:paraId="01FC18D6" w14:textId="2E5A36ED" w:rsidR="00C861E2" w:rsidRPr="00BA1A4E" w:rsidRDefault="00BA1A4E" w:rsidP="004F0FE3">
      <w:pPr>
        <w:rPr>
          <w:b/>
          <w:i/>
          <w:iCs/>
          <w:color w:val="517891"/>
          <w:sz w:val="20"/>
          <w:szCs w:val="20"/>
        </w:rPr>
      </w:pPr>
      <w:r w:rsidRPr="00BA1A4E">
        <w:rPr>
          <w:b/>
          <w:i/>
          <w:iCs/>
          <w:color w:val="517891"/>
          <w:sz w:val="20"/>
          <w:szCs w:val="20"/>
        </w:rPr>
        <w:t>** This date was changed from an original December deadline to align with the OSHA ETS. January 18</w:t>
      </w:r>
      <w:r w:rsidRPr="00BA1A4E">
        <w:rPr>
          <w:b/>
          <w:i/>
          <w:iCs/>
          <w:color w:val="517891"/>
          <w:sz w:val="20"/>
          <w:szCs w:val="20"/>
          <w:vertAlign w:val="superscript"/>
        </w:rPr>
        <w:t>th</w:t>
      </w:r>
      <w:r w:rsidRPr="00BA1A4E">
        <w:rPr>
          <w:b/>
          <w:i/>
          <w:iCs/>
          <w:color w:val="517891"/>
          <w:sz w:val="20"/>
          <w:szCs w:val="20"/>
        </w:rPr>
        <w:t xml:space="preserve"> would be two weeks after January 4</w:t>
      </w:r>
      <w:r w:rsidRPr="00BA1A4E">
        <w:rPr>
          <w:b/>
          <w:i/>
          <w:iCs/>
          <w:color w:val="517891"/>
          <w:sz w:val="20"/>
          <w:szCs w:val="20"/>
          <w:vertAlign w:val="superscript"/>
        </w:rPr>
        <w:t>th</w:t>
      </w:r>
      <w:r w:rsidRPr="00BA1A4E">
        <w:rPr>
          <w:b/>
          <w:i/>
          <w:iCs/>
          <w:color w:val="517891"/>
          <w:sz w:val="20"/>
          <w:szCs w:val="20"/>
        </w:rPr>
        <w:t>, the day the vaccinations must be completed under the ES.</w:t>
      </w:r>
    </w:p>
    <w:sectPr w:rsidR="00C861E2" w:rsidRPr="00BA1A4E" w:rsidSect="00F72353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77B2" w14:textId="77777777" w:rsidR="00E903E8" w:rsidRDefault="00E903E8">
      <w:r>
        <w:separator/>
      </w:r>
    </w:p>
  </w:endnote>
  <w:endnote w:type="continuationSeparator" w:id="0">
    <w:p w14:paraId="4C6B9044" w14:textId="77777777" w:rsidR="00E903E8" w:rsidRDefault="00E9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74D0D148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3D05C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440-0302</w:t>
    </w:r>
    <w:r w:rsidR="00E30441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r w:rsidR="00E30441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B1C5" w14:textId="77777777" w:rsidR="00E903E8" w:rsidRDefault="00E903E8">
      <w:r>
        <w:separator/>
      </w:r>
    </w:p>
  </w:footnote>
  <w:footnote w:type="continuationSeparator" w:id="0">
    <w:p w14:paraId="3A3E91AA" w14:textId="77777777" w:rsidR="00E903E8" w:rsidRDefault="00E9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8D30BB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1026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DA5A9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A173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6FC7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8D30BB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1025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394"/>
    <w:multiLevelType w:val="hybridMultilevel"/>
    <w:tmpl w:val="25EE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058"/>
    <w:multiLevelType w:val="multilevel"/>
    <w:tmpl w:val="80B4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21D35"/>
    <w:multiLevelType w:val="multilevel"/>
    <w:tmpl w:val="537C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C568B"/>
    <w:multiLevelType w:val="multilevel"/>
    <w:tmpl w:val="ABE0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007D8"/>
    <w:multiLevelType w:val="multilevel"/>
    <w:tmpl w:val="2A00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00B98"/>
    <w:multiLevelType w:val="multilevel"/>
    <w:tmpl w:val="FECC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57F88"/>
    <w:multiLevelType w:val="multilevel"/>
    <w:tmpl w:val="A24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E27C0"/>
    <w:multiLevelType w:val="multilevel"/>
    <w:tmpl w:val="6C1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E50C2"/>
    <w:multiLevelType w:val="hybridMultilevel"/>
    <w:tmpl w:val="CC5E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7402"/>
    <w:multiLevelType w:val="hybridMultilevel"/>
    <w:tmpl w:val="9934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61B04"/>
    <w:multiLevelType w:val="multilevel"/>
    <w:tmpl w:val="39C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B6526"/>
    <w:multiLevelType w:val="multilevel"/>
    <w:tmpl w:val="39B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A2A7A"/>
    <w:multiLevelType w:val="multilevel"/>
    <w:tmpl w:val="A526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358E2"/>
    <w:multiLevelType w:val="multilevel"/>
    <w:tmpl w:val="3B1E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86F47"/>
    <w:multiLevelType w:val="multilevel"/>
    <w:tmpl w:val="98E4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A4B65"/>
    <w:multiLevelType w:val="multilevel"/>
    <w:tmpl w:val="2FB6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47294E"/>
    <w:multiLevelType w:val="multilevel"/>
    <w:tmpl w:val="95C8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AD0DEB"/>
    <w:multiLevelType w:val="multilevel"/>
    <w:tmpl w:val="668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473D9"/>
    <w:multiLevelType w:val="multilevel"/>
    <w:tmpl w:val="418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806B1"/>
    <w:multiLevelType w:val="multilevel"/>
    <w:tmpl w:val="C2E0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8967EE"/>
    <w:multiLevelType w:val="multilevel"/>
    <w:tmpl w:val="B976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F30CE"/>
    <w:multiLevelType w:val="multilevel"/>
    <w:tmpl w:val="F594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D115D5"/>
    <w:multiLevelType w:val="multilevel"/>
    <w:tmpl w:val="86C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8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16"/>
  </w:num>
  <w:num w:numId="13">
    <w:abstractNumId w:val="7"/>
  </w:num>
  <w:num w:numId="14">
    <w:abstractNumId w:val="4"/>
  </w:num>
  <w:num w:numId="15">
    <w:abstractNumId w:val="20"/>
  </w:num>
  <w:num w:numId="16">
    <w:abstractNumId w:val="13"/>
  </w:num>
  <w:num w:numId="17">
    <w:abstractNumId w:val="19"/>
  </w:num>
  <w:num w:numId="18">
    <w:abstractNumId w:val="22"/>
  </w:num>
  <w:num w:numId="19">
    <w:abstractNumId w:val="21"/>
  </w:num>
  <w:num w:numId="20">
    <w:abstractNumId w:val="12"/>
  </w:num>
  <w:num w:numId="21">
    <w:abstractNumId w:val="5"/>
  </w:num>
  <w:num w:numId="22">
    <w:abstractNumId w:val="17"/>
  </w:num>
  <w:num w:numId="2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1153E"/>
    <w:rsid w:val="000A43C1"/>
    <w:rsid w:val="000B6987"/>
    <w:rsid w:val="001123E1"/>
    <w:rsid w:val="00163C29"/>
    <w:rsid w:val="00180099"/>
    <w:rsid w:val="001821AF"/>
    <w:rsid w:val="001853A5"/>
    <w:rsid w:val="002137AC"/>
    <w:rsid w:val="00233BFD"/>
    <w:rsid w:val="00290988"/>
    <w:rsid w:val="002D33F4"/>
    <w:rsid w:val="00304774"/>
    <w:rsid w:val="00327B9A"/>
    <w:rsid w:val="003505B2"/>
    <w:rsid w:val="0037580F"/>
    <w:rsid w:val="00390CF1"/>
    <w:rsid w:val="003B2AE3"/>
    <w:rsid w:val="00400629"/>
    <w:rsid w:val="0044286D"/>
    <w:rsid w:val="00457432"/>
    <w:rsid w:val="00462011"/>
    <w:rsid w:val="0047661F"/>
    <w:rsid w:val="004D6C9F"/>
    <w:rsid w:val="004F0FE3"/>
    <w:rsid w:val="004F2E5E"/>
    <w:rsid w:val="005120A1"/>
    <w:rsid w:val="005412B8"/>
    <w:rsid w:val="00541428"/>
    <w:rsid w:val="0056463C"/>
    <w:rsid w:val="00572086"/>
    <w:rsid w:val="00596823"/>
    <w:rsid w:val="005A1E1F"/>
    <w:rsid w:val="005A5A17"/>
    <w:rsid w:val="005B6C2D"/>
    <w:rsid w:val="005C2D52"/>
    <w:rsid w:val="005C6767"/>
    <w:rsid w:val="00616E4A"/>
    <w:rsid w:val="00653472"/>
    <w:rsid w:val="006A767E"/>
    <w:rsid w:val="006B2366"/>
    <w:rsid w:val="006D217A"/>
    <w:rsid w:val="00745AC7"/>
    <w:rsid w:val="00792952"/>
    <w:rsid w:val="007945F7"/>
    <w:rsid w:val="007E0C3E"/>
    <w:rsid w:val="007E42A3"/>
    <w:rsid w:val="008548D5"/>
    <w:rsid w:val="00865962"/>
    <w:rsid w:val="00883111"/>
    <w:rsid w:val="008A617E"/>
    <w:rsid w:val="008C1E06"/>
    <w:rsid w:val="008D30BB"/>
    <w:rsid w:val="00930181"/>
    <w:rsid w:val="00933510"/>
    <w:rsid w:val="009559A8"/>
    <w:rsid w:val="009776EF"/>
    <w:rsid w:val="009879B7"/>
    <w:rsid w:val="009B32AA"/>
    <w:rsid w:val="009C62F3"/>
    <w:rsid w:val="009D2CCB"/>
    <w:rsid w:val="009E4AB5"/>
    <w:rsid w:val="00A11EAF"/>
    <w:rsid w:val="00A12A2D"/>
    <w:rsid w:val="00A37111"/>
    <w:rsid w:val="00A71264"/>
    <w:rsid w:val="00A8445F"/>
    <w:rsid w:val="00AE5D3D"/>
    <w:rsid w:val="00B47B02"/>
    <w:rsid w:val="00B6291D"/>
    <w:rsid w:val="00B9123C"/>
    <w:rsid w:val="00B91520"/>
    <w:rsid w:val="00B92B1E"/>
    <w:rsid w:val="00B96FC3"/>
    <w:rsid w:val="00BA1A4E"/>
    <w:rsid w:val="00BA5331"/>
    <w:rsid w:val="00BB0A73"/>
    <w:rsid w:val="00BE0299"/>
    <w:rsid w:val="00C16851"/>
    <w:rsid w:val="00C25833"/>
    <w:rsid w:val="00C35316"/>
    <w:rsid w:val="00C861E2"/>
    <w:rsid w:val="00C93F7B"/>
    <w:rsid w:val="00CB7C05"/>
    <w:rsid w:val="00CC1D13"/>
    <w:rsid w:val="00D04690"/>
    <w:rsid w:val="00D06DCD"/>
    <w:rsid w:val="00D07A79"/>
    <w:rsid w:val="00D957F4"/>
    <w:rsid w:val="00DF67EB"/>
    <w:rsid w:val="00E30441"/>
    <w:rsid w:val="00E50642"/>
    <w:rsid w:val="00E903E8"/>
    <w:rsid w:val="00EC6134"/>
    <w:rsid w:val="00F3590E"/>
    <w:rsid w:val="00F72353"/>
    <w:rsid w:val="00F925D1"/>
    <w:rsid w:val="00FA4C1F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861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861E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861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F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1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6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61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C861E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Strong">
    <w:name w:val="Strong"/>
    <w:basedOn w:val="DefaultParagraphFont"/>
    <w:uiPriority w:val="22"/>
    <w:qFormat/>
    <w:rsid w:val="00C861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1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861E2"/>
  </w:style>
  <w:style w:type="character" w:styleId="Emphasis">
    <w:name w:val="Emphasis"/>
    <w:basedOn w:val="DefaultParagraphFont"/>
    <w:uiPriority w:val="20"/>
    <w:qFormat/>
    <w:rsid w:val="00C861E2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FE3"/>
    <w:rPr>
      <w:rFonts w:asciiTheme="majorHAnsi" w:eastAsiaTheme="majorEastAsia" w:hAnsiTheme="majorHAnsi" w:cstheme="majorBidi"/>
      <w:color w:val="2F5496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catapult.org/covid-vaccine-religious-exemption-request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ferfederalworkforce.gov/downloads/Draft%20contractor%20guidance%20doc_20210922.pdf" TargetMode="External"/><Relationship Id="rId12" Type="http://schemas.openxmlformats.org/officeDocument/2006/relationships/hyperlink" Target="%20https:/letscatapult.org/non-compliance-letter-vaccine-requireme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tscatapult.org/toolkits/covid-and-pandemic-toolk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vid.cdc.gov/covid-data-trac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tscatapult.org/covid-19-vaccine-medical-exemption-request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2</cp:revision>
  <dcterms:created xsi:type="dcterms:W3CDTF">2021-12-01T13:07:00Z</dcterms:created>
  <dcterms:modified xsi:type="dcterms:W3CDTF">2021-12-01T13:07:00Z</dcterms:modified>
</cp:coreProperties>
</file>